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F75" w:rsidRPr="00B92503" w:rsidRDefault="005B0F75" w:rsidP="00B92503">
      <w:pPr>
        <w:rPr>
          <w:rFonts w:cs="Arial"/>
          <w:b/>
          <w:szCs w:val="24"/>
        </w:rPr>
      </w:pPr>
      <w:r w:rsidRPr="00B92503">
        <w:rPr>
          <w:rFonts w:cs="Arial"/>
          <w:b/>
          <w:szCs w:val="24"/>
        </w:rPr>
        <w:t>ANED 2018-</w:t>
      </w:r>
      <w:r w:rsidR="00744850" w:rsidRPr="00B92503">
        <w:rPr>
          <w:rFonts w:cs="Arial"/>
          <w:b/>
          <w:szCs w:val="24"/>
        </w:rPr>
        <w:t>1</w:t>
      </w:r>
      <w:r w:rsidRPr="00B92503">
        <w:rPr>
          <w:rFonts w:cs="Arial"/>
          <w:b/>
          <w:szCs w:val="24"/>
        </w:rPr>
        <w:t>9</w:t>
      </w:r>
      <w:r w:rsidRPr="00B92503">
        <w:rPr>
          <w:rFonts w:cs="Arial"/>
          <w:b/>
          <w:szCs w:val="24"/>
        </w:rPr>
        <w:tab/>
      </w:r>
      <w:r w:rsidRPr="00B92503">
        <w:rPr>
          <w:rFonts w:cs="Arial"/>
          <w:b/>
          <w:szCs w:val="24"/>
        </w:rPr>
        <w:tab/>
      </w:r>
      <w:r w:rsidRPr="00B92503">
        <w:rPr>
          <w:rFonts w:cs="Arial"/>
          <w:b/>
          <w:szCs w:val="24"/>
        </w:rPr>
        <w:tab/>
      </w:r>
      <w:r w:rsidRPr="00B92503">
        <w:rPr>
          <w:rFonts w:cs="Arial"/>
          <w:b/>
          <w:szCs w:val="24"/>
        </w:rPr>
        <w:tab/>
        <w:t>Task 1.2</w:t>
      </w:r>
    </w:p>
    <w:p w:rsidR="005B0F75" w:rsidRPr="00B92503" w:rsidRDefault="005B0F75" w:rsidP="00B92503">
      <w:pPr>
        <w:rPr>
          <w:rFonts w:cs="Arial"/>
          <w:b/>
          <w:szCs w:val="24"/>
          <w:lang w:bidi="en-US"/>
        </w:rPr>
      </w:pPr>
    </w:p>
    <w:p w:rsidR="00A75929" w:rsidRPr="00B92503" w:rsidRDefault="00A75929" w:rsidP="00B92503">
      <w:pPr>
        <w:rPr>
          <w:rFonts w:cs="Arial"/>
          <w:b/>
          <w:szCs w:val="24"/>
        </w:rPr>
      </w:pPr>
    </w:p>
    <w:p w:rsidR="00A75929" w:rsidRPr="00B92503" w:rsidRDefault="00A75929" w:rsidP="00B92503">
      <w:pPr>
        <w:rPr>
          <w:rFonts w:cs="Arial"/>
          <w:b/>
          <w:szCs w:val="24"/>
        </w:rPr>
      </w:pPr>
    </w:p>
    <w:p w:rsidR="00A75929" w:rsidRPr="00B92503" w:rsidRDefault="00C15268" w:rsidP="00B92503">
      <w:pPr>
        <w:rPr>
          <w:rFonts w:cs="Arial"/>
          <w:b/>
          <w:szCs w:val="24"/>
        </w:rPr>
      </w:pPr>
      <w:r w:rsidRPr="00B92503">
        <w:rPr>
          <w:rFonts w:cs="Arial"/>
          <w:b/>
          <w:szCs w:val="24"/>
        </w:rPr>
        <w:t>Living</w:t>
      </w:r>
      <w:r w:rsidR="009B0AEB" w:rsidRPr="00B92503">
        <w:rPr>
          <w:rFonts w:cs="Arial"/>
          <w:b/>
          <w:szCs w:val="24"/>
        </w:rPr>
        <w:t xml:space="preserve"> independently and being included in the community</w:t>
      </w:r>
    </w:p>
    <w:p w:rsidR="00A75929" w:rsidRPr="00B92503" w:rsidRDefault="00A75929" w:rsidP="00B92503">
      <w:pPr>
        <w:rPr>
          <w:rFonts w:cs="Arial"/>
          <w:szCs w:val="24"/>
        </w:rPr>
      </w:pPr>
    </w:p>
    <w:p w:rsidR="00A75929" w:rsidRPr="00B92503" w:rsidRDefault="00A75929" w:rsidP="00B92503">
      <w:pPr>
        <w:rPr>
          <w:rFonts w:cs="Arial"/>
          <w:szCs w:val="24"/>
        </w:rPr>
      </w:pPr>
    </w:p>
    <w:p w:rsidR="00707FF0" w:rsidRPr="00B92503" w:rsidRDefault="00707FF0" w:rsidP="00B92503">
      <w:pPr>
        <w:rPr>
          <w:rFonts w:cs="Arial"/>
          <w:szCs w:val="24"/>
        </w:rPr>
      </w:pPr>
    </w:p>
    <w:p w:rsidR="00707FF0" w:rsidRPr="00B92503" w:rsidRDefault="00707FF0" w:rsidP="00B92503">
      <w:pPr>
        <w:rPr>
          <w:rFonts w:cs="Arial"/>
          <w:szCs w:val="24"/>
        </w:rPr>
      </w:pPr>
    </w:p>
    <w:p w:rsidR="00707FF0" w:rsidRPr="00B92503" w:rsidRDefault="00707FF0" w:rsidP="00B92503">
      <w:pPr>
        <w:rPr>
          <w:rFonts w:cs="Arial"/>
          <w:szCs w:val="24"/>
          <w:lang w:bidi="en-US"/>
        </w:rPr>
      </w:pPr>
    </w:p>
    <w:p w:rsidR="00707FF0" w:rsidRPr="00B92503" w:rsidRDefault="00707FF0" w:rsidP="00B92503">
      <w:pPr>
        <w:rPr>
          <w:rFonts w:cs="Arial"/>
          <w:szCs w:val="24"/>
          <w:lang w:bidi="en-US"/>
        </w:rPr>
      </w:pPr>
    </w:p>
    <w:p w:rsidR="00707FF0" w:rsidRPr="00B92503" w:rsidRDefault="00707FF0" w:rsidP="00B92503">
      <w:pPr>
        <w:rPr>
          <w:rFonts w:cs="Arial"/>
          <w:szCs w:val="24"/>
          <w:lang w:bidi="en-US"/>
        </w:rPr>
      </w:pPr>
    </w:p>
    <w:p w:rsidR="00A75929" w:rsidRPr="009E55DC" w:rsidRDefault="00A75929" w:rsidP="00B92503">
      <w:pPr>
        <w:rPr>
          <w:rFonts w:cs="Arial"/>
          <w:szCs w:val="24"/>
        </w:rPr>
      </w:pPr>
      <w:r w:rsidRPr="009E55DC">
        <w:rPr>
          <w:rFonts w:cs="Arial"/>
          <w:szCs w:val="24"/>
        </w:rPr>
        <w:t xml:space="preserve">Country: </w:t>
      </w:r>
      <w:r w:rsidR="00AE55CA" w:rsidRPr="009E55DC">
        <w:rPr>
          <w:rFonts w:cs="Arial"/>
          <w:szCs w:val="24"/>
        </w:rPr>
        <w:t>Luxembourg</w:t>
      </w:r>
    </w:p>
    <w:p w:rsidR="00A75929" w:rsidRPr="00B92503" w:rsidRDefault="00A75929" w:rsidP="00B92503">
      <w:pPr>
        <w:rPr>
          <w:rFonts w:cs="Arial"/>
          <w:szCs w:val="24"/>
        </w:rPr>
      </w:pPr>
    </w:p>
    <w:p w:rsidR="00AE55CA" w:rsidRPr="009E55DC" w:rsidRDefault="00A75929" w:rsidP="00B92503">
      <w:pPr>
        <w:rPr>
          <w:rFonts w:cs="Arial"/>
          <w:szCs w:val="24"/>
        </w:rPr>
      </w:pPr>
      <w:r w:rsidRPr="00B92503">
        <w:rPr>
          <w:rFonts w:cs="Arial"/>
          <w:szCs w:val="24"/>
        </w:rPr>
        <w:t>Expert(s):</w:t>
      </w:r>
      <w:r w:rsidRPr="00B92503">
        <w:rPr>
          <w:rFonts w:cs="Arial"/>
          <w:szCs w:val="24"/>
          <w:lang w:bidi="en-US"/>
        </w:rPr>
        <w:t xml:space="preserve"> </w:t>
      </w:r>
      <w:r w:rsidR="00AE55CA" w:rsidRPr="009E55DC">
        <w:rPr>
          <w:rFonts w:cs="Arial"/>
          <w:szCs w:val="24"/>
        </w:rPr>
        <w:t>Arthur Limbach-Reich</w:t>
      </w:r>
    </w:p>
    <w:p w:rsidR="008E4ACD" w:rsidRPr="00B92503" w:rsidRDefault="00D9246D" w:rsidP="00B92503">
      <w:pPr>
        <w:rPr>
          <w:rFonts w:eastAsia="MS Gothic" w:cs="Arial"/>
          <w:b/>
          <w:szCs w:val="24"/>
        </w:rPr>
      </w:pPr>
      <w:r w:rsidRPr="00B92503">
        <w:rPr>
          <w:rFonts w:cs="Arial"/>
          <w:szCs w:val="24"/>
        </w:rPr>
        <w:br w:type="page"/>
      </w:r>
      <w:bookmarkStart w:id="0" w:name="_Toc440626664"/>
    </w:p>
    <w:p w:rsidR="00A75929" w:rsidRPr="00B92503" w:rsidRDefault="00A75929" w:rsidP="00B92503">
      <w:pPr>
        <w:rPr>
          <w:rFonts w:cs="Arial"/>
          <w:b/>
          <w:szCs w:val="24"/>
        </w:rPr>
      </w:pPr>
      <w:bookmarkStart w:id="1" w:name="OLE_LINK3"/>
      <w:bookmarkStart w:id="2" w:name="OLE_LINK4"/>
      <w:r w:rsidRPr="00B92503">
        <w:rPr>
          <w:rFonts w:cs="Arial"/>
          <w:b/>
          <w:szCs w:val="24"/>
        </w:rPr>
        <w:t>Contents</w:t>
      </w:r>
    </w:p>
    <w:p w:rsidR="00A75929" w:rsidRPr="00B92503" w:rsidRDefault="00A75929" w:rsidP="00B92503">
      <w:pPr>
        <w:rPr>
          <w:rFonts w:cs="Arial"/>
          <w:szCs w:val="24"/>
        </w:rPr>
      </w:pPr>
    </w:p>
    <w:p w:rsidR="002A7B5C" w:rsidRDefault="00A75929">
      <w:pPr>
        <w:pStyle w:val="TOC1"/>
        <w:rPr>
          <w:rFonts w:asciiTheme="minorHAnsi" w:eastAsiaTheme="minorEastAsia" w:hAnsiTheme="minorHAnsi" w:cstheme="minorBidi"/>
          <w:noProof/>
          <w:sz w:val="22"/>
          <w:szCs w:val="22"/>
          <w:lang w:val="nl-NL" w:eastAsia="nl-NL"/>
        </w:rPr>
      </w:pPr>
      <w:r w:rsidRPr="00B92503">
        <w:rPr>
          <w:rFonts w:cs="Arial"/>
          <w:szCs w:val="24"/>
        </w:rPr>
        <w:fldChar w:fldCharType="begin"/>
      </w:r>
      <w:r w:rsidRPr="00B92503">
        <w:rPr>
          <w:rFonts w:cs="Arial"/>
          <w:szCs w:val="24"/>
        </w:rPr>
        <w:instrText xml:space="preserve"> TOC \o "1-2" \h \z \u </w:instrText>
      </w:r>
      <w:r w:rsidRPr="00B92503">
        <w:rPr>
          <w:rFonts w:cs="Arial"/>
          <w:szCs w:val="24"/>
        </w:rPr>
        <w:fldChar w:fldCharType="separate"/>
      </w:r>
      <w:hyperlink w:anchor="_Toc7612951" w:history="1">
        <w:r w:rsidR="002A7B5C" w:rsidRPr="00E206EB">
          <w:rPr>
            <w:rStyle w:val="Hyperlink"/>
            <w:rFonts w:cs="Arial"/>
            <w:noProof/>
            <w:lang w:bidi="en-US"/>
          </w:rPr>
          <w:t>PART A – Factual information and statistical data</w:t>
        </w:r>
        <w:r w:rsidR="002A7B5C">
          <w:rPr>
            <w:noProof/>
            <w:webHidden/>
          </w:rPr>
          <w:tab/>
        </w:r>
        <w:r w:rsidR="002A7B5C">
          <w:rPr>
            <w:noProof/>
            <w:webHidden/>
          </w:rPr>
          <w:fldChar w:fldCharType="begin"/>
        </w:r>
        <w:r w:rsidR="002A7B5C">
          <w:rPr>
            <w:noProof/>
            <w:webHidden/>
          </w:rPr>
          <w:instrText xml:space="preserve"> PAGEREF _Toc7612951 \h </w:instrText>
        </w:r>
        <w:r w:rsidR="002A7B5C">
          <w:rPr>
            <w:noProof/>
            <w:webHidden/>
          </w:rPr>
        </w:r>
        <w:r w:rsidR="002A7B5C">
          <w:rPr>
            <w:noProof/>
            <w:webHidden/>
          </w:rPr>
          <w:fldChar w:fldCharType="separate"/>
        </w:r>
        <w:r w:rsidR="002A7B5C">
          <w:rPr>
            <w:noProof/>
            <w:webHidden/>
          </w:rPr>
          <w:t>2</w:t>
        </w:r>
        <w:r w:rsidR="002A7B5C">
          <w:rPr>
            <w:noProof/>
            <w:webHidden/>
          </w:rPr>
          <w:fldChar w:fldCharType="end"/>
        </w:r>
      </w:hyperlink>
    </w:p>
    <w:p w:rsidR="002A7B5C" w:rsidRDefault="002A7B5C">
      <w:pPr>
        <w:pStyle w:val="TOC1"/>
        <w:rPr>
          <w:rFonts w:asciiTheme="minorHAnsi" w:eastAsiaTheme="minorEastAsia" w:hAnsiTheme="minorHAnsi" w:cstheme="minorBidi"/>
          <w:noProof/>
          <w:sz w:val="22"/>
          <w:szCs w:val="22"/>
          <w:lang w:val="nl-NL" w:eastAsia="nl-NL"/>
        </w:rPr>
      </w:pPr>
      <w:hyperlink w:anchor="_Toc7612952" w:history="1">
        <w:r w:rsidRPr="00E206EB">
          <w:rPr>
            <w:rStyle w:val="Hyperlink"/>
            <w:noProof/>
            <w:lang w:bidi="en-US"/>
          </w:rPr>
          <w:t>1</w:t>
        </w:r>
        <w:r>
          <w:rPr>
            <w:rFonts w:asciiTheme="minorHAnsi" w:eastAsiaTheme="minorEastAsia" w:hAnsiTheme="minorHAnsi" w:cstheme="minorBidi"/>
            <w:noProof/>
            <w:sz w:val="22"/>
            <w:szCs w:val="22"/>
            <w:lang w:val="nl-NL" w:eastAsia="nl-NL"/>
          </w:rPr>
          <w:tab/>
        </w:r>
        <w:r w:rsidRPr="00E206EB">
          <w:rPr>
            <w:rStyle w:val="Hyperlink"/>
            <w:noProof/>
            <w:lang w:bidi="en-US"/>
          </w:rPr>
          <w:t>Current situation and direction of travel</w:t>
        </w:r>
        <w:r>
          <w:rPr>
            <w:noProof/>
            <w:webHidden/>
          </w:rPr>
          <w:tab/>
        </w:r>
        <w:r>
          <w:rPr>
            <w:noProof/>
            <w:webHidden/>
          </w:rPr>
          <w:fldChar w:fldCharType="begin"/>
        </w:r>
        <w:r>
          <w:rPr>
            <w:noProof/>
            <w:webHidden/>
          </w:rPr>
          <w:instrText xml:space="preserve"> PAGEREF _Toc7612952 \h </w:instrText>
        </w:r>
        <w:r>
          <w:rPr>
            <w:noProof/>
            <w:webHidden/>
          </w:rPr>
        </w:r>
        <w:r>
          <w:rPr>
            <w:noProof/>
            <w:webHidden/>
          </w:rPr>
          <w:fldChar w:fldCharType="separate"/>
        </w:r>
        <w:r>
          <w:rPr>
            <w:noProof/>
            <w:webHidden/>
          </w:rPr>
          <w:t>2</w:t>
        </w:r>
        <w:r>
          <w:rPr>
            <w:noProof/>
            <w:webHidden/>
          </w:rPr>
          <w:fldChar w:fldCharType="end"/>
        </w:r>
      </w:hyperlink>
    </w:p>
    <w:p w:rsidR="002A7B5C" w:rsidRDefault="002A7B5C">
      <w:pPr>
        <w:pStyle w:val="TOC2"/>
        <w:tabs>
          <w:tab w:val="left" w:pos="1134"/>
        </w:tabs>
        <w:rPr>
          <w:rFonts w:asciiTheme="minorHAnsi" w:eastAsiaTheme="minorEastAsia" w:hAnsiTheme="minorHAnsi" w:cstheme="minorBidi"/>
          <w:noProof/>
          <w:sz w:val="22"/>
          <w:szCs w:val="22"/>
          <w:lang w:val="nl-NL" w:eastAsia="nl-NL"/>
        </w:rPr>
      </w:pPr>
      <w:hyperlink w:anchor="_Toc7612953" w:history="1">
        <w:r w:rsidRPr="00E206EB">
          <w:rPr>
            <w:rStyle w:val="Hyperlink"/>
            <w:rFonts w:cs="Arial"/>
            <w:noProof/>
            <w:lang w:bidi="en-US"/>
          </w:rPr>
          <w:t>1.1</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Numbers and proportions of disabled children and adults residing in institutional care or community-based settings</w:t>
        </w:r>
        <w:r>
          <w:rPr>
            <w:noProof/>
            <w:webHidden/>
          </w:rPr>
          <w:tab/>
        </w:r>
        <w:r>
          <w:rPr>
            <w:noProof/>
            <w:webHidden/>
          </w:rPr>
          <w:fldChar w:fldCharType="begin"/>
        </w:r>
        <w:r>
          <w:rPr>
            <w:noProof/>
            <w:webHidden/>
          </w:rPr>
          <w:instrText xml:space="preserve"> PAGEREF _Toc7612953 \h </w:instrText>
        </w:r>
        <w:r>
          <w:rPr>
            <w:noProof/>
            <w:webHidden/>
          </w:rPr>
        </w:r>
        <w:r>
          <w:rPr>
            <w:noProof/>
            <w:webHidden/>
          </w:rPr>
          <w:fldChar w:fldCharType="separate"/>
        </w:r>
        <w:r>
          <w:rPr>
            <w:noProof/>
            <w:webHidden/>
          </w:rPr>
          <w:t>6</w:t>
        </w:r>
        <w:r>
          <w:rPr>
            <w:noProof/>
            <w:webHidden/>
          </w:rPr>
          <w:fldChar w:fldCharType="end"/>
        </w:r>
      </w:hyperlink>
    </w:p>
    <w:p w:rsidR="002A7B5C" w:rsidRDefault="002A7B5C">
      <w:pPr>
        <w:pStyle w:val="TOC2"/>
        <w:tabs>
          <w:tab w:val="left" w:pos="1134"/>
        </w:tabs>
        <w:rPr>
          <w:rFonts w:asciiTheme="minorHAnsi" w:eastAsiaTheme="minorEastAsia" w:hAnsiTheme="minorHAnsi" w:cstheme="minorBidi"/>
          <w:noProof/>
          <w:sz w:val="22"/>
          <w:szCs w:val="22"/>
          <w:lang w:val="nl-NL" w:eastAsia="nl-NL"/>
        </w:rPr>
      </w:pPr>
      <w:hyperlink w:anchor="_Toc7612954" w:history="1">
        <w:r w:rsidRPr="00E206EB">
          <w:rPr>
            <w:rStyle w:val="Hyperlink"/>
            <w:rFonts w:cs="Arial"/>
            <w:noProof/>
            <w:lang w:bidi="en-US"/>
          </w:rPr>
          <w:t>1.2</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Overall spending on institutional care versus services for support for living independently and being included in the community, including information about proportion/amount of funding provided from EU funds</w:t>
        </w:r>
        <w:r>
          <w:rPr>
            <w:noProof/>
            <w:webHidden/>
          </w:rPr>
          <w:tab/>
        </w:r>
        <w:r>
          <w:rPr>
            <w:noProof/>
            <w:webHidden/>
          </w:rPr>
          <w:fldChar w:fldCharType="begin"/>
        </w:r>
        <w:r>
          <w:rPr>
            <w:noProof/>
            <w:webHidden/>
          </w:rPr>
          <w:instrText xml:space="preserve"> PAGEREF _Toc7612954 \h </w:instrText>
        </w:r>
        <w:r>
          <w:rPr>
            <w:noProof/>
            <w:webHidden/>
          </w:rPr>
        </w:r>
        <w:r>
          <w:rPr>
            <w:noProof/>
            <w:webHidden/>
          </w:rPr>
          <w:fldChar w:fldCharType="separate"/>
        </w:r>
        <w:r>
          <w:rPr>
            <w:noProof/>
            <w:webHidden/>
          </w:rPr>
          <w:t>11</w:t>
        </w:r>
        <w:r>
          <w:rPr>
            <w:noProof/>
            <w:webHidden/>
          </w:rPr>
          <w:fldChar w:fldCharType="end"/>
        </w:r>
      </w:hyperlink>
    </w:p>
    <w:p w:rsidR="002A7B5C" w:rsidRDefault="002A7B5C">
      <w:pPr>
        <w:pStyle w:val="TOC1"/>
        <w:rPr>
          <w:rFonts w:asciiTheme="minorHAnsi" w:eastAsiaTheme="minorEastAsia" w:hAnsiTheme="minorHAnsi" w:cstheme="minorBidi"/>
          <w:noProof/>
          <w:sz w:val="22"/>
          <w:szCs w:val="22"/>
          <w:lang w:val="nl-NL" w:eastAsia="nl-NL"/>
        </w:rPr>
      </w:pPr>
      <w:hyperlink w:anchor="_Toc7612955" w:history="1">
        <w:r w:rsidRPr="00E206EB">
          <w:rPr>
            <w:rStyle w:val="Hyperlink"/>
            <w:rFonts w:cs="Arial"/>
            <w:noProof/>
            <w:lang w:bidi="en-US"/>
          </w:rPr>
          <w:t>2</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Government commitments on living independently and being included in the community including the transition from institutional care to community-based living</w:t>
        </w:r>
        <w:r>
          <w:rPr>
            <w:noProof/>
            <w:webHidden/>
          </w:rPr>
          <w:tab/>
        </w:r>
        <w:r>
          <w:rPr>
            <w:noProof/>
            <w:webHidden/>
          </w:rPr>
          <w:fldChar w:fldCharType="begin"/>
        </w:r>
        <w:r>
          <w:rPr>
            <w:noProof/>
            <w:webHidden/>
          </w:rPr>
          <w:instrText xml:space="preserve"> PAGEREF _Toc7612955 \h </w:instrText>
        </w:r>
        <w:r>
          <w:rPr>
            <w:noProof/>
            <w:webHidden/>
          </w:rPr>
        </w:r>
        <w:r>
          <w:rPr>
            <w:noProof/>
            <w:webHidden/>
          </w:rPr>
          <w:fldChar w:fldCharType="separate"/>
        </w:r>
        <w:r>
          <w:rPr>
            <w:noProof/>
            <w:webHidden/>
          </w:rPr>
          <w:t>12</w:t>
        </w:r>
        <w:r>
          <w:rPr>
            <w:noProof/>
            <w:webHidden/>
          </w:rPr>
          <w:fldChar w:fldCharType="end"/>
        </w:r>
      </w:hyperlink>
    </w:p>
    <w:p w:rsidR="002A7B5C" w:rsidRDefault="002A7B5C">
      <w:pPr>
        <w:pStyle w:val="TOC2"/>
        <w:tabs>
          <w:tab w:val="left" w:pos="1134"/>
        </w:tabs>
        <w:rPr>
          <w:rFonts w:asciiTheme="minorHAnsi" w:eastAsiaTheme="minorEastAsia" w:hAnsiTheme="minorHAnsi" w:cstheme="minorBidi"/>
          <w:noProof/>
          <w:sz w:val="22"/>
          <w:szCs w:val="22"/>
          <w:lang w:val="nl-NL" w:eastAsia="nl-NL"/>
        </w:rPr>
      </w:pPr>
      <w:hyperlink w:anchor="_Toc7612956" w:history="1">
        <w:r w:rsidRPr="00E206EB">
          <w:rPr>
            <w:rStyle w:val="Hyperlink"/>
            <w:rFonts w:cs="Arial"/>
            <w:noProof/>
            <w:lang w:bidi="en-US"/>
          </w:rPr>
          <w:t>2.1</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In which document(s) are government commitments and plans concerning support for independent living in the community set out?</w:t>
        </w:r>
        <w:r>
          <w:rPr>
            <w:noProof/>
            <w:webHidden/>
          </w:rPr>
          <w:tab/>
        </w:r>
        <w:r>
          <w:rPr>
            <w:noProof/>
            <w:webHidden/>
          </w:rPr>
          <w:fldChar w:fldCharType="begin"/>
        </w:r>
        <w:r>
          <w:rPr>
            <w:noProof/>
            <w:webHidden/>
          </w:rPr>
          <w:instrText xml:space="preserve"> PAGEREF _Toc7612956 \h </w:instrText>
        </w:r>
        <w:r>
          <w:rPr>
            <w:noProof/>
            <w:webHidden/>
          </w:rPr>
        </w:r>
        <w:r>
          <w:rPr>
            <w:noProof/>
            <w:webHidden/>
          </w:rPr>
          <w:fldChar w:fldCharType="separate"/>
        </w:r>
        <w:r>
          <w:rPr>
            <w:noProof/>
            <w:webHidden/>
          </w:rPr>
          <w:t>13</w:t>
        </w:r>
        <w:r>
          <w:rPr>
            <w:noProof/>
            <w:webHidden/>
          </w:rPr>
          <w:fldChar w:fldCharType="end"/>
        </w:r>
      </w:hyperlink>
    </w:p>
    <w:p w:rsidR="002A7B5C" w:rsidRDefault="002A7B5C">
      <w:pPr>
        <w:pStyle w:val="TOC2"/>
        <w:tabs>
          <w:tab w:val="left" w:pos="1134"/>
        </w:tabs>
        <w:rPr>
          <w:rFonts w:asciiTheme="minorHAnsi" w:eastAsiaTheme="minorEastAsia" w:hAnsiTheme="minorHAnsi" w:cstheme="minorBidi"/>
          <w:noProof/>
          <w:sz w:val="22"/>
          <w:szCs w:val="22"/>
          <w:lang w:val="nl-NL" w:eastAsia="nl-NL"/>
        </w:rPr>
      </w:pPr>
      <w:hyperlink w:anchor="_Toc7612957" w:history="1">
        <w:r w:rsidRPr="00E206EB">
          <w:rPr>
            <w:rStyle w:val="Hyperlink"/>
            <w:rFonts w:cs="Arial"/>
            <w:noProof/>
            <w:lang w:bidi="en-US"/>
          </w:rPr>
          <w:t>2.2</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What are the aims and objectives of relevant strategies, including relevant targets and milestones? Are they linked to ESIF?</w:t>
        </w:r>
        <w:r>
          <w:rPr>
            <w:noProof/>
            <w:webHidden/>
          </w:rPr>
          <w:tab/>
        </w:r>
        <w:r>
          <w:rPr>
            <w:noProof/>
            <w:webHidden/>
          </w:rPr>
          <w:fldChar w:fldCharType="begin"/>
        </w:r>
        <w:r>
          <w:rPr>
            <w:noProof/>
            <w:webHidden/>
          </w:rPr>
          <w:instrText xml:space="preserve"> PAGEREF _Toc7612957 \h </w:instrText>
        </w:r>
        <w:r>
          <w:rPr>
            <w:noProof/>
            <w:webHidden/>
          </w:rPr>
        </w:r>
        <w:r>
          <w:rPr>
            <w:noProof/>
            <w:webHidden/>
          </w:rPr>
          <w:fldChar w:fldCharType="separate"/>
        </w:r>
        <w:r>
          <w:rPr>
            <w:noProof/>
            <w:webHidden/>
          </w:rPr>
          <w:t>17</w:t>
        </w:r>
        <w:r>
          <w:rPr>
            <w:noProof/>
            <w:webHidden/>
          </w:rPr>
          <w:fldChar w:fldCharType="end"/>
        </w:r>
      </w:hyperlink>
    </w:p>
    <w:p w:rsidR="002A7B5C" w:rsidRDefault="002A7B5C">
      <w:pPr>
        <w:pStyle w:val="TOC2"/>
        <w:tabs>
          <w:tab w:val="left" w:pos="1134"/>
        </w:tabs>
        <w:rPr>
          <w:rFonts w:asciiTheme="minorHAnsi" w:eastAsiaTheme="minorEastAsia" w:hAnsiTheme="minorHAnsi" w:cstheme="minorBidi"/>
          <w:noProof/>
          <w:sz w:val="22"/>
          <w:szCs w:val="22"/>
          <w:lang w:val="nl-NL" w:eastAsia="nl-NL"/>
        </w:rPr>
      </w:pPr>
      <w:hyperlink w:anchor="_Toc7612958" w:history="1">
        <w:r w:rsidRPr="00E206EB">
          <w:rPr>
            <w:rStyle w:val="Hyperlink"/>
            <w:rFonts w:cs="Arial"/>
            <w:noProof/>
            <w:lang w:bidi="en-US"/>
          </w:rPr>
          <w:t>2.3</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Please summarise the planned approach and the actions to be taken in relevant strategies</w:t>
        </w:r>
        <w:r>
          <w:rPr>
            <w:noProof/>
            <w:webHidden/>
          </w:rPr>
          <w:tab/>
        </w:r>
        <w:r>
          <w:rPr>
            <w:noProof/>
            <w:webHidden/>
          </w:rPr>
          <w:fldChar w:fldCharType="begin"/>
        </w:r>
        <w:r>
          <w:rPr>
            <w:noProof/>
            <w:webHidden/>
          </w:rPr>
          <w:instrText xml:space="preserve"> PAGEREF _Toc7612958 \h </w:instrText>
        </w:r>
        <w:r>
          <w:rPr>
            <w:noProof/>
            <w:webHidden/>
          </w:rPr>
        </w:r>
        <w:r>
          <w:rPr>
            <w:noProof/>
            <w:webHidden/>
          </w:rPr>
          <w:fldChar w:fldCharType="separate"/>
        </w:r>
        <w:r>
          <w:rPr>
            <w:noProof/>
            <w:webHidden/>
          </w:rPr>
          <w:t>19</w:t>
        </w:r>
        <w:r>
          <w:rPr>
            <w:noProof/>
            <w:webHidden/>
          </w:rPr>
          <w:fldChar w:fldCharType="end"/>
        </w:r>
      </w:hyperlink>
    </w:p>
    <w:p w:rsidR="002A7B5C" w:rsidRDefault="002A7B5C">
      <w:pPr>
        <w:pStyle w:val="TOC2"/>
        <w:tabs>
          <w:tab w:val="left" w:pos="1134"/>
        </w:tabs>
        <w:rPr>
          <w:rFonts w:asciiTheme="minorHAnsi" w:eastAsiaTheme="minorEastAsia" w:hAnsiTheme="minorHAnsi" w:cstheme="minorBidi"/>
          <w:noProof/>
          <w:sz w:val="22"/>
          <w:szCs w:val="22"/>
          <w:lang w:val="nl-NL" w:eastAsia="nl-NL"/>
        </w:rPr>
      </w:pPr>
      <w:hyperlink w:anchor="_Toc7612959" w:history="1">
        <w:r w:rsidRPr="00E206EB">
          <w:rPr>
            <w:rStyle w:val="Hyperlink"/>
            <w:rFonts w:cs="Arial"/>
            <w:noProof/>
            <w:lang w:bidi="en-US"/>
          </w:rPr>
          <w:t>2.4</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What budgetary commitments are made to support these strategies, both for domestic and EU funds?</w:t>
        </w:r>
        <w:r>
          <w:rPr>
            <w:noProof/>
            <w:webHidden/>
          </w:rPr>
          <w:tab/>
        </w:r>
        <w:r>
          <w:rPr>
            <w:noProof/>
            <w:webHidden/>
          </w:rPr>
          <w:fldChar w:fldCharType="begin"/>
        </w:r>
        <w:r>
          <w:rPr>
            <w:noProof/>
            <w:webHidden/>
          </w:rPr>
          <w:instrText xml:space="preserve"> PAGEREF _Toc7612959 \h </w:instrText>
        </w:r>
        <w:r>
          <w:rPr>
            <w:noProof/>
            <w:webHidden/>
          </w:rPr>
        </w:r>
        <w:r>
          <w:rPr>
            <w:noProof/>
            <w:webHidden/>
          </w:rPr>
          <w:fldChar w:fldCharType="separate"/>
        </w:r>
        <w:r>
          <w:rPr>
            <w:noProof/>
            <w:webHidden/>
          </w:rPr>
          <w:t>20</w:t>
        </w:r>
        <w:r>
          <w:rPr>
            <w:noProof/>
            <w:webHidden/>
          </w:rPr>
          <w:fldChar w:fldCharType="end"/>
        </w:r>
      </w:hyperlink>
    </w:p>
    <w:p w:rsidR="002A7B5C" w:rsidRDefault="002A7B5C">
      <w:pPr>
        <w:pStyle w:val="TOC2"/>
        <w:tabs>
          <w:tab w:val="left" w:pos="1134"/>
        </w:tabs>
        <w:rPr>
          <w:rFonts w:asciiTheme="minorHAnsi" w:eastAsiaTheme="minorEastAsia" w:hAnsiTheme="minorHAnsi" w:cstheme="minorBidi"/>
          <w:noProof/>
          <w:sz w:val="22"/>
          <w:szCs w:val="22"/>
          <w:lang w:val="nl-NL" w:eastAsia="nl-NL"/>
        </w:rPr>
      </w:pPr>
      <w:hyperlink w:anchor="_Toc7612960" w:history="1">
        <w:r w:rsidRPr="00E206EB">
          <w:rPr>
            <w:rStyle w:val="Hyperlink"/>
            <w:rFonts w:cs="Arial"/>
            <w:noProof/>
            <w:lang w:bidi="en-US"/>
          </w:rPr>
          <w:t>2.5</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What is the (official) involvement of persons with disabilities and/or their representative organisations in the development of the strategies and plans</w:t>
        </w:r>
        <w:r>
          <w:rPr>
            <w:noProof/>
            <w:webHidden/>
          </w:rPr>
          <w:tab/>
        </w:r>
        <w:r>
          <w:rPr>
            <w:noProof/>
            <w:webHidden/>
          </w:rPr>
          <w:fldChar w:fldCharType="begin"/>
        </w:r>
        <w:r>
          <w:rPr>
            <w:noProof/>
            <w:webHidden/>
          </w:rPr>
          <w:instrText xml:space="preserve"> PAGEREF _Toc7612960 \h </w:instrText>
        </w:r>
        <w:r>
          <w:rPr>
            <w:noProof/>
            <w:webHidden/>
          </w:rPr>
        </w:r>
        <w:r>
          <w:rPr>
            <w:noProof/>
            <w:webHidden/>
          </w:rPr>
          <w:fldChar w:fldCharType="separate"/>
        </w:r>
        <w:r>
          <w:rPr>
            <w:noProof/>
            <w:webHidden/>
          </w:rPr>
          <w:t>20</w:t>
        </w:r>
        <w:r>
          <w:rPr>
            <w:noProof/>
            <w:webHidden/>
          </w:rPr>
          <w:fldChar w:fldCharType="end"/>
        </w:r>
      </w:hyperlink>
    </w:p>
    <w:p w:rsidR="002A7B5C" w:rsidRDefault="002A7B5C">
      <w:pPr>
        <w:pStyle w:val="TOC1"/>
        <w:rPr>
          <w:rFonts w:asciiTheme="minorHAnsi" w:eastAsiaTheme="minorEastAsia" w:hAnsiTheme="minorHAnsi" w:cstheme="minorBidi"/>
          <w:noProof/>
          <w:sz w:val="22"/>
          <w:szCs w:val="22"/>
          <w:lang w:val="nl-NL" w:eastAsia="nl-NL"/>
        </w:rPr>
      </w:pPr>
      <w:hyperlink w:anchor="_Toc7612961" w:history="1">
        <w:r w:rsidRPr="00E206EB">
          <w:rPr>
            <w:rStyle w:val="Hyperlink"/>
            <w:noProof/>
            <w:lang w:bidi="en-US"/>
          </w:rPr>
          <w:t>3</w:t>
        </w:r>
        <w:r>
          <w:rPr>
            <w:rFonts w:asciiTheme="minorHAnsi" w:eastAsiaTheme="minorEastAsia" w:hAnsiTheme="minorHAnsi" w:cstheme="minorBidi"/>
            <w:noProof/>
            <w:sz w:val="22"/>
            <w:szCs w:val="22"/>
            <w:lang w:val="nl-NL" w:eastAsia="nl-NL"/>
          </w:rPr>
          <w:tab/>
        </w:r>
        <w:r w:rsidRPr="00E206EB">
          <w:rPr>
            <w:rStyle w:val="Hyperlink"/>
            <w:noProof/>
            <w:lang w:bidi="en-US"/>
          </w:rPr>
          <w:t>Implementation and monitoring</w:t>
        </w:r>
        <w:r>
          <w:rPr>
            <w:noProof/>
            <w:webHidden/>
          </w:rPr>
          <w:tab/>
        </w:r>
        <w:r>
          <w:rPr>
            <w:noProof/>
            <w:webHidden/>
          </w:rPr>
          <w:fldChar w:fldCharType="begin"/>
        </w:r>
        <w:r>
          <w:rPr>
            <w:noProof/>
            <w:webHidden/>
          </w:rPr>
          <w:instrText xml:space="preserve"> PAGEREF _Toc7612961 \h </w:instrText>
        </w:r>
        <w:r>
          <w:rPr>
            <w:noProof/>
            <w:webHidden/>
          </w:rPr>
        </w:r>
        <w:r>
          <w:rPr>
            <w:noProof/>
            <w:webHidden/>
          </w:rPr>
          <w:fldChar w:fldCharType="separate"/>
        </w:r>
        <w:r>
          <w:rPr>
            <w:noProof/>
            <w:webHidden/>
          </w:rPr>
          <w:t>21</w:t>
        </w:r>
        <w:r>
          <w:rPr>
            <w:noProof/>
            <w:webHidden/>
          </w:rPr>
          <w:fldChar w:fldCharType="end"/>
        </w:r>
      </w:hyperlink>
    </w:p>
    <w:p w:rsidR="002A7B5C" w:rsidRDefault="002A7B5C">
      <w:pPr>
        <w:pStyle w:val="TOC2"/>
        <w:tabs>
          <w:tab w:val="left" w:pos="1134"/>
        </w:tabs>
        <w:rPr>
          <w:rFonts w:asciiTheme="minorHAnsi" w:eastAsiaTheme="minorEastAsia" w:hAnsiTheme="minorHAnsi" w:cstheme="minorBidi"/>
          <w:noProof/>
          <w:sz w:val="22"/>
          <w:szCs w:val="22"/>
          <w:lang w:val="nl-NL" w:eastAsia="nl-NL"/>
        </w:rPr>
      </w:pPr>
      <w:hyperlink w:anchor="_Toc7612962" w:history="1">
        <w:r w:rsidRPr="00E206EB">
          <w:rPr>
            <w:rStyle w:val="Hyperlink"/>
            <w:rFonts w:cs="Arial"/>
            <w:noProof/>
            <w:lang w:bidi="en-US"/>
          </w:rPr>
          <w:t>3.1</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Summary of relevant calls for proposals</w:t>
        </w:r>
        <w:r>
          <w:rPr>
            <w:noProof/>
            <w:webHidden/>
          </w:rPr>
          <w:tab/>
        </w:r>
        <w:r>
          <w:rPr>
            <w:noProof/>
            <w:webHidden/>
          </w:rPr>
          <w:fldChar w:fldCharType="begin"/>
        </w:r>
        <w:r>
          <w:rPr>
            <w:noProof/>
            <w:webHidden/>
          </w:rPr>
          <w:instrText xml:space="preserve"> PAGEREF _Toc7612962 \h </w:instrText>
        </w:r>
        <w:r>
          <w:rPr>
            <w:noProof/>
            <w:webHidden/>
          </w:rPr>
        </w:r>
        <w:r>
          <w:rPr>
            <w:noProof/>
            <w:webHidden/>
          </w:rPr>
          <w:fldChar w:fldCharType="separate"/>
        </w:r>
        <w:r>
          <w:rPr>
            <w:noProof/>
            <w:webHidden/>
          </w:rPr>
          <w:t>21</w:t>
        </w:r>
        <w:r>
          <w:rPr>
            <w:noProof/>
            <w:webHidden/>
          </w:rPr>
          <w:fldChar w:fldCharType="end"/>
        </w:r>
      </w:hyperlink>
    </w:p>
    <w:p w:rsidR="002A7B5C" w:rsidRDefault="002A7B5C">
      <w:pPr>
        <w:pStyle w:val="TOC2"/>
        <w:tabs>
          <w:tab w:val="left" w:pos="1134"/>
        </w:tabs>
        <w:rPr>
          <w:rFonts w:asciiTheme="minorHAnsi" w:eastAsiaTheme="minorEastAsia" w:hAnsiTheme="minorHAnsi" w:cstheme="minorBidi"/>
          <w:noProof/>
          <w:sz w:val="22"/>
          <w:szCs w:val="22"/>
          <w:lang w:val="nl-NL" w:eastAsia="nl-NL"/>
        </w:rPr>
      </w:pPr>
      <w:hyperlink w:anchor="_Toc7612963" w:history="1">
        <w:r w:rsidRPr="00E206EB">
          <w:rPr>
            <w:rStyle w:val="Hyperlink"/>
            <w:rFonts w:cs="Arial"/>
            <w:noProof/>
            <w:lang w:bidi="en-US"/>
          </w:rPr>
          <w:t>3.2</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Summary of relevant projects funded</w:t>
        </w:r>
        <w:r>
          <w:rPr>
            <w:noProof/>
            <w:webHidden/>
          </w:rPr>
          <w:tab/>
        </w:r>
        <w:r>
          <w:rPr>
            <w:noProof/>
            <w:webHidden/>
          </w:rPr>
          <w:fldChar w:fldCharType="begin"/>
        </w:r>
        <w:r>
          <w:rPr>
            <w:noProof/>
            <w:webHidden/>
          </w:rPr>
          <w:instrText xml:space="preserve"> PAGEREF _Toc7612963 \h </w:instrText>
        </w:r>
        <w:r>
          <w:rPr>
            <w:noProof/>
            <w:webHidden/>
          </w:rPr>
        </w:r>
        <w:r>
          <w:rPr>
            <w:noProof/>
            <w:webHidden/>
          </w:rPr>
          <w:fldChar w:fldCharType="separate"/>
        </w:r>
        <w:r>
          <w:rPr>
            <w:noProof/>
            <w:webHidden/>
          </w:rPr>
          <w:t>21</w:t>
        </w:r>
        <w:r>
          <w:rPr>
            <w:noProof/>
            <w:webHidden/>
          </w:rPr>
          <w:fldChar w:fldCharType="end"/>
        </w:r>
      </w:hyperlink>
    </w:p>
    <w:p w:rsidR="002A7B5C" w:rsidRDefault="002A7B5C">
      <w:pPr>
        <w:pStyle w:val="TOC2"/>
        <w:tabs>
          <w:tab w:val="left" w:pos="1134"/>
        </w:tabs>
        <w:rPr>
          <w:rFonts w:asciiTheme="minorHAnsi" w:eastAsiaTheme="minorEastAsia" w:hAnsiTheme="minorHAnsi" w:cstheme="minorBidi"/>
          <w:noProof/>
          <w:sz w:val="22"/>
          <w:szCs w:val="22"/>
          <w:lang w:val="nl-NL" w:eastAsia="nl-NL"/>
        </w:rPr>
      </w:pPr>
      <w:hyperlink w:anchor="_Toc7612964" w:history="1">
        <w:r w:rsidRPr="00E206EB">
          <w:rPr>
            <w:rStyle w:val="Hyperlink"/>
            <w:rFonts w:cs="Arial"/>
            <w:noProof/>
            <w:lang w:bidi="en-US"/>
          </w:rPr>
          <w:t>3.3</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Overview of other relevant measures since 2013</w:t>
        </w:r>
        <w:r>
          <w:rPr>
            <w:noProof/>
            <w:webHidden/>
          </w:rPr>
          <w:tab/>
        </w:r>
        <w:r>
          <w:rPr>
            <w:noProof/>
            <w:webHidden/>
          </w:rPr>
          <w:fldChar w:fldCharType="begin"/>
        </w:r>
        <w:r>
          <w:rPr>
            <w:noProof/>
            <w:webHidden/>
          </w:rPr>
          <w:instrText xml:space="preserve"> PAGEREF _Toc7612964 \h </w:instrText>
        </w:r>
        <w:r>
          <w:rPr>
            <w:noProof/>
            <w:webHidden/>
          </w:rPr>
        </w:r>
        <w:r>
          <w:rPr>
            <w:noProof/>
            <w:webHidden/>
          </w:rPr>
          <w:fldChar w:fldCharType="separate"/>
        </w:r>
        <w:r>
          <w:rPr>
            <w:noProof/>
            <w:webHidden/>
          </w:rPr>
          <w:t>21</w:t>
        </w:r>
        <w:r>
          <w:rPr>
            <w:noProof/>
            <w:webHidden/>
          </w:rPr>
          <w:fldChar w:fldCharType="end"/>
        </w:r>
      </w:hyperlink>
    </w:p>
    <w:p w:rsidR="002A7B5C" w:rsidRDefault="002A7B5C">
      <w:pPr>
        <w:pStyle w:val="TOC2"/>
        <w:tabs>
          <w:tab w:val="left" w:pos="1134"/>
        </w:tabs>
        <w:rPr>
          <w:rFonts w:asciiTheme="minorHAnsi" w:eastAsiaTheme="minorEastAsia" w:hAnsiTheme="minorHAnsi" w:cstheme="minorBidi"/>
          <w:noProof/>
          <w:sz w:val="22"/>
          <w:szCs w:val="22"/>
          <w:lang w:val="nl-NL" w:eastAsia="nl-NL"/>
        </w:rPr>
      </w:pPr>
      <w:hyperlink w:anchor="_Toc7612965" w:history="1">
        <w:r w:rsidRPr="00E206EB">
          <w:rPr>
            <w:rStyle w:val="Hyperlink"/>
            <w:rFonts w:cs="Arial"/>
            <w:noProof/>
            <w:lang w:bidi="en-US"/>
          </w:rPr>
          <w:t>3.4</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Monitoring mechanisms and approaches</w:t>
        </w:r>
        <w:r>
          <w:rPr>
            <w:noProof/>
            <w:webHidden/>
          </w:rPr>
          <w:tab/>
        </w:r>
        <w:r>
          <w:rPr>
            <w:noProof/>
            <w:webHidden/>
          </w:rPr>
          <w:fldChar w:fldCharType="begin"/>
        </w:r>
        <w:r>
          <w:rPr>
            <w:noProof/>
            <w:webHidden/>
          </w:rPr>
          <w:instrText xml:space="preserve"> PAGEREF _Toc7612965 \h </w:instrText>
        </w:r>
        <w:r>
          <w:rPr>
            <w:noProof/>
            <w:webHidden/>
          </w:rPr>
        </w:r>
        <w:r>
          <w:rPr>
            <w:noProof/>
            <w:webHidden/>
          </w:rPr>
          <w:fldChar w:fldCharType="separate"/>
        </w:r>
        <w:r>
          <w:rPr>
            <w:noProof/>
            <w:webHidden/>
          </w:rPr>
          <w:t>22</w:t>
        </w:r>
        <w:r>
          <w:rPr>
            <w:noProof/>
            <w:webHidden/>
          </w:rPr>
          <w:fldChar w:fldCharType="end"/>
        </w:r>
      </w:hyperlink>
    </w:p>
    <w:p w:rsidR="002A7B5C" w:rsidRDefault="002A7B5C">
      <w:pPr>
        <w:pStyle w:val="TOC1"/>
        <w:rPr>
          <w:rFonts w:asciiTheme="minorHAnsi" w:eastAsiaTheme="minorEastAsia" w:hAnsiTheme="minorHAnsi" w:cstheme="minorBidi"/>
          <w:noProof/>
          <w:sz w:val="22"/>
          <w:szCs w:val="22"/>
          <w:lang w:val="nl-NL" w:eastAsia="nl-NL"/>
        </w:rPr>
      </w:pPr>
      <w:hyperlink w:anchor="_Toc7612966" w:history="1">
        <w:r w:rsidRPr="00E206EB">
          <w:rPr>
            <w:rStyle w:val="Hyperlink"/>
            <w:noProof/>
            <w:lang w:bidi="en-US"/>
          </w:rPr>
          <w:t>4</w:t>
        </w:r>
        <w:r>
          <w:rPr>
            <w:rFonts w:asciiTheme="minorHAnsi" w:eastAsiaTheme="minorEastAsia" w:hAnsiTheme="minorHAnsi" w:cstheme="minorBidi"/>
            <w:noProof/>
            <w:sz w:val="22"/>
            <w:szCs w:val="22"/>
            <w:lang w:val="nl-NL" w:eastAsia="nl-NL"/>
          </w:rPr>
          <w:tab/>
        </w:r>
        <w:r w:rsidRPr="00E206EB">
          <w:rPr>
            <w:rStyle w:val="Hyperlink"/>
            <w:noProof/>
            <w:lang w:bidi="en-US"/>
          </w:rPr>
          <w:t>Impact and outcomes</w:t>
        </w:r>
        <w:r>
          <w:rPr>
            <w:noProof/>
            <w:webHidden/>
          </w:rPr>
          <w:tab/>
        </w:r>
        <w:r>
          <w:rPr>
            <w:noProof/>
            <w:webHidden/>
          </w:rPr>
          <w:fldChar w:fldCharType="begin"/>
        </w:r>
        <w:r>
          <w:rPr>
            <w:noProof/>
            <w:webHidden/>
          </w:rPr>
          <w:instrText xml:space="preserve"> PAGEREF _Toc7612966 \h </w:instrText>
        </w:r>
        <w:r>
          <w:rPr>
            <w:noProof/>
            <w:webHidden/>
          </w:rPr>
        </w:r>
        <w:r>
          <w:rPr>
            <w:noProof/>
            <w:webHidden/>
          </w:rPr>
          <w:fldChar w:fldCharType="separate"/>
        </w:r>
        <w:r>
          <w:rPr>
            <w:noProof/>
            <w:webHidden/>
          </w:rPr>
          <w:t>23</w:t>
        </w:r>
        <w:r>
          <w:rPr>
            <w:noProof/>
            <w:webHidden/>
          </w:rPr>
          <w:fldChar w:fldCharType="end"/>
        </w:r>
      </w:hyperlink>
    </w:p>
    <w:p w:rsidR="002A7B5C" w:rsidRDefault="002A7B5C">
      <w:pPr>
        <w:pStyle w:val="TOC2"/>
        <w:tabs>
          <w:tab w:val="left" w:pos="1134"/>
        </w:tabs>
        <w:rPr>
          <w:rFonts w:asciiTheme="minorHAnsi" w:eastAsiaTheme="minorEastAsia" w:hAnsiTheme="minorHAnsi" w:cstheme="minorBidi"/>
          <w:noProof/>
          <w:sz w:val="22"/>
          <w:szCs w:val="22"/>
          <w:lang w:val="nl-NL" w:eastAsia="nl-NL"/>
        </w:rPr>
      </w:pPr>
      <w:hyperlink w:anchor="_Toc7612967" w:history="1">
        <w:r w:rsidRPr="00E206EB">
          <w:rPr>
            <w:rStyle w:val="Hyperlink"/>
            <w:rFonts w:cs="Arial"/>
            <w:noProof/>
            <w:lang w:bidi="en-US"/>
          </w:rPr>
          <w:t>4.1</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Progress against explicit targets and milestones</w:t>
        </w:r>
        <w:r>
          <w:rPr>
            <w:noProof/>
            <w:webHidden/>
          </w:rPr>
          <w:tab/>
        </w:r>
        <w:r>
          <w:rPr>
            <w:noProof/>
            <w:webHidden/>
          </w:rPr>
          <w:fldChar w:fldCharType="begin"/>
        </w:r>
        <w:r>
          <w:rPr>
            <w:noProof/>
            <w:webHidden/>
          </w:rPr>
          <w:instrText xml:space="preserve"> PAGEREF _Toc7612967 \h </w:instrText>
        </w:r>
        <w:r>
          <w:rPr>
            <w:noProof/>
            <w:webHidden/>
          </w:rPr>
        </w:r>
        <w:r>
          <w:rPr>
            <w:noProof/>
            <w:webHidden/>
          </w:rPr>
          <w:fldChar w:fldCharType="separate"/>
        </w:r>
        <w:r>
          <w:rPr>
            <w:noProof/>
            <w:webHidden/>
          </w:rPr>
          <w:t>23</w:t>
        </w:r>
        <w:r>
          <w:rPr>
            <w:noProof/>
            <w:webHidden/>
          </w:rPr>
          <w:fldChar w:fldCharType="end"/>
        </w:r>
      </w:hyperlink>
    </w:p>
    <w:p w:rsidR="002A7B5C" w:rsidRDefault="002A7B5C">
      <w:pPr>
        <w:pStyle w:val="TOC2"/>
        <w:tabs>
          <w:tab w:val="left" w:pos="1134"/>
        </w:tabs>
        <w:rPr>
          <w:rFonts w:asciiTheme="minorHAnsi" w:eastAsiaTheme="minorEastAsia" w:hAnsiTheme="minorHAnsi" w:cstheme="minorBidi"/>
          <w:noProof/>
          <w:sz w:val="22"/>
          <w:szCs w:val="22"/>
          <w:lang w:val="nl-NL" w:eastAsia="nl-NL"/>
        </w:rPr>
      </w:pPr>
      <w:hyperlink w:anchor="_Toc7612968" w:history="1">
        <w:r w:rsidRPr="00E206EB">
          <w:rPr>
            <w:rStyle w:val="Hyperlink"/>
            <w:rFonts w:cs="Arial"/>
            <w:noProof/>
            <w:lang w:bidi="en-US"/>
          </w:rPr>
          <w:t>4.2</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What is replacing institutional care?</w:t>
        </w:r>
        <w:r>
          <w:rPr>
            <w:noProof/>
            <w:webHidden/>
          </w:rPr>
          <w:tab/>
        </w:r>
        <w:r>
          <w:rPr>
            <w:noProof/>
            <w:webHidden/>
          </w:rPr>
          <w:fldChar w:fldCharType="begin"/>
        </w:r>
        <w:r>
          <w:rPr>
            <w:noProof/>
            <w:webHidden/>
          </w:rPr>
          <w:instrText xml:space="preserve"> PAGEREF _Toc7612968 \h </w:instrText>
        </w:r>
        <w:r>
          <w:rPr>
            <w:noProof/>
            <w:webHidden/>
          </w:rPr>
        </w:r>
        <w:r>
          <w:rPr>
            <w:noProof/>
            <w:webHidden/>
          </w:rPr>
          <w:fldChar w:fldCharType="separate"/>
        </w:r>
        <w:r>
          <w:rPr>
            <w:noProof/>
            <w:webHidden/>
          </w:rPr>
          <w:t>24</w:t>
        </w:r>
        <w:r>
          <w:rPr>
            <w:noProof/>
            <w:webHidden/>
          </w:rPr>
          <w:fldChar w:fldCharType="end"/>
        </w:r>
      </w:hyperlink>
    </w:p>
    <w:p w:rsidR="002A7B5C" w:rsidRDefault="002A7B5C">
      <w:pPr>
        <w:pStyle w:val="TOC2"/>
        <w:tabs>
          <w:tab w:val="left" w:pos="1134"/>
        </w:tabs>
        <w:rPr>
          <w:rFonts w:asciiTheme="minorHAnsi" w:eastAsiaTheme="minorEastAsia" w:hAnsiTheme="minorHAnsi" w:cstheme="minorBidi"/>
          <w:noProof/>
          <w:sz w:val="22"/>
          <w:szCs w:val="22"/>
          <w:lang w:val="nl-NL" w:eastAsia="nl-NL"/>
        </w:rPr>
      </w:pPr>
      <w:hyperlink w:anchor="_Toc7612969" w:history="1">
        <w:r w:rsidRPr="00E206EB">
          <w:rPr>
            <w:rStyle w:val="Hyperlink"/>
            <w:rFonts w:cs="Arial"/>
            <w:noProof/>
            <w:lang w:bidi="en-US"/>
          </w:rPr>
          <w:t>4.3</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Satisfaction levels among persons with disabilities</w:t>
        </w:r>
        <w:r>
          <w:rPr>
            <w:noProof/>
            <w:webHidden/>
          </w:rPr>
          <w:tab/>
        </w:r>
        <w:r>
          <w:rPr>
            <w:noProof/>
            <w:webHidden/>
          </w:rPr>
          <w:fldChar w:fldCharType="begin"/>
        </w:r>
        <w:r>
          <w:rPr>
            <w:noProof/>
            <w:webHidden/>
          </w:rPr>
          <w:instrText xml:space="preserve"> PAGEREF _Toc7612969 \h </w:instrText>
        </w:r>
        <w:r>
          <w:rPr>
            <w:noProof/>
            <w:webHidden/>
          </w:rPr>
        </w:r>
        <w:r>
          <w:rPr>
            <w:noProof/>
            <w:webHidden/>
          </w:rPr>
          <w:fldChar w:fldCharType="separate"/>
        </w:r>
        <w:r>
          <w:rPr>
            <w:noProof/>
            <w:webHidden/>
          </w:rPr>
          <w:t>25</w:t>
        </w:r>
        <w:r>
          <w:rPr>
            <w:noProof/>
            <w:webHidden/>
          </w:rPr>
          <w:fldChar w:fldCharType="end"/>
        </w:r>
      </w:hyperlink>
    </w:p>
    <w:p w:rsidR="002A7B5C" w:rsidRDefault="002A7B5C">
      <w:pPr>
        <w:pStyle w:val="TOC1"/>
        <w:rPr>
          <w:rFonts w:asciiTheme="minorHAnsi" w:eastAsiaTheme="minorEastAsia" w:hAnsiTheme="minorHAnsi" w:cstheme="minorBidi"/>
          <w:noProof/>
          <w:sz w:val="22"/>
          <w:szCs w:val="22"/>
          <w:lang w:val="nl-NL" w:eastAsia="nl-NL"/>
        </w:rPr>
      </w:pPr>
      <w:hyperlink w:anchor="_Toc7612970" w:history="1">
        <w:r w:rsidRPr="00E206EB">
          <w:rPr>
            <w:rStyle w:val="Hyperlink"/>
            <w:rFonts w:cs="Arial"/>
            <w:noProof/>
            <w:lang w:bidi="en-US"/>
          </w:rPr>
          <w:t>PART B – Critique and evaluation</w:t>
        </w:r>
        <w:r>
          <w:rPr>
            <w:noProof/>
            <w:webHidden/>
          </w:rPr>
          <w:tab/>
        </w:r>
        <w:r>
          <w:rPr>
            <w:noProof/>
            <w:webHidden/>
          </w:rPr>
          <w:fldChar w:fldCharType="begin"/>
        </w:r>
        <w:r>
          <w:rPr>
            <w:noProof/>
            <w:webHidden/>
          </w:rPr>
          <w:instrText xml:space="preserve"> PAGEREF _Toc7612970 \h </w:instrText>
        </w:r>
        <w:r>
          <w:rPr>
            <w:noProof/>
            <w:webHidden/>
          </w:rPr>
        </w:r>
        <w:r>
          <w:rPr>
            <w:noProof/>
            <w:webHidden/>
          </w:rPr>
          <w:fldChar w:fldCharType="separate"/>
        </w:r>
        <w:r>
          <w:rPr>
            <w:noProof/>
            <w:webHidden/>
          </w:rPr>
          <w:t>26</w:t>
        </w:r>
        <w:r>
          <w:rPr>
            <w:noProof/>
            <w:webHidden/>
          </w:rPr>
          <w:fldChar w:fldCharType="end"/>
        </w:r>
      </w:hyperlink>
    </w:p>
    <w:p w:rsidR="002A7B5C" w:rsidRDefault="002A7B5C">
      <w:pPr>
        <w:pStyle w:val="TOC1"/>
        <w:rPr>
          <w:rFonts w:asciiTheme="minorHAnsi" w:eastAsiaTheme="minorEastAsia" w:hAnsiTheme="minorHAnsi" w:cstheme="minorBidi"/>
          <w:noProof/>
          <w:sz w:val="22"/>
          <w:szCs w:val="22"/>
          <w:lang w:val="nl-NL" w:eastAsia="nl-NL"/>
        </w:rPr>
      </w:pPr>
      <w:hyperlink w:anchor="_Toc7612971" w:history="1">
        <w:r w:rsidRPr="00E206EB">
          <w:rPr>
            <w:rStyle w:val="Hyperlink"/>
            <w:rFonts w:cs="Arial"/>
            <w:noProof/>
            <w:lang w:bidi="en-US"/>
          </w:rPr>
          <w:t>5</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Observations and recommendations of official bodies</w:t>
        </w:r>
        <w:r>
          <w:rPr>
            <w:noProof/>
            <w:webHidden/>
          </w:rPr>
          <w:tab/>
        </w:r>
        <w:r>
          <w:rPr>
            <w:noProof/>
            <w:webHidden/>
          </w:rPr>
          <w:fldChar w:fldCharType="begin"/>
        </w:r>
        <w:r>
          <w:rPr>
            <w:noProof/>
            <w:webHidden/>
          </w:rPr>
          <w:instrText xml:space="preserve"> PAGEREF _Toc7612971 \h </w:instrText>
        </w:r>
        <w:r>
          <w:rPr>
            <w:noProof/>
            <w:webHidden/>
          </w:rPr>
        </w:r>
        <w:r>
          <w:rPr>
            <w:noProof/>
            <w:webHidden/>
          </w:rPr>
          <w:fldChar w:fldCharType="separate"/>
        </w:r>
        <w:r>
          <w:rPr>
            <w:noProof/>
            <w:webHidden/>
          </w:rPr>
          <w:t>26</w:t>
        </w:r>
        <w:r>
          <w:rPr>
            <w:noProof/>
            <w:webHidden/>
          </w:rPr>
          <w:fldChar w:fldCharType="end"/>
        </w:r>
      </w:hyperlink>
    </w:p>
    <w:p w:rsidR="002A7B5C" w:rsidRDefault="002A7B5C">
      <w:pPr>
        <w:pStyle w:val="TOC2"/>
        <w:tabs>
          <w:tab w:val="left" w:pos="1134"/>
        </w:tabs>
        <w:rPr>
          <w:rFonts w:asciiTheme="minorHAnsi" w:eastAsiaTheme="minorEastAsia" w:hAnsiTheme="minorHAnsi" w:cstheme="minorBidi"/>
          <w:noProof/>
          <w:sz w:val="22"/>
          <w:szCs w:val="22"/>
          <w:lang w:val="nl-NL" w:eastAsia="nl-NL"/>
        </w:rPr>
      </w:pPr>
      <w:hyperlink w:anchor="_Toc7612972" w:history="1">
        <w:r w:rsidRPr="00E206EB">
          <w:rPr>
            <w:rStyle w:val="Hyperlink"/>
            <w:rFonts w:cs="Arial"/>
            <w:noProof/>
            <w:lang w:bidi="en-US"/>
          </w:rPr>
          <w:t>5.1</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Observations by the UN Committee on the Rights of Persons with Disabilities on Article 19</w:t>
        </w:r>
        <w:r>
          <w:rPr>
            <w:noProof/>
            <w:webHidden/>
          </w:rPr>
          <w:tab/>
        </w:r>
        <w:r>
          <w:rPr>
            <w:noProof/>
            <w:webHidden/>
          </w:rPr>
          <w:fldChar w:fldCharType="begin"/>
        </w:r>
        <w:r>
          <w:rPr>
            <w:noProof/>
            <w:webHidden/>
          </w:rPr>
          <w:instrText xml:space="preserve"> PAGEREF _Toc7612972 \h </w:instrText>
        </w:r>
        <w:r>
          <w:rPr>
            <w:noProof/>
            <w:webHidden/>
          </w:rPr>
        </w:r>
        <w:r>
          <w:rPr>
            <w:noProof/>
            <w:webHidden/>
          </w:rPr>
          <w:fldChar w:fldCharType="separate"/>
        </w:r>
        <w:r>
          <w:rPr>
            <w:noProof/>
            <w:webHidden/>
          </w:rPr>
          <w:t>26</w:t>
        </w:r>
        <w:r>
          <w:rPr>
            <w:noProof/>
            <w:webHidden/>
          </w:rPr>
          <w:fldChar w:fldCharType="end"/>
        </w:r>
      </w:hyperlink>
    </w:p>
    <w:p w:rsidR="002A7B5C" w:rsidRDefault="002A7B5C">
      <w:pPr>
        <w:pStyle w:val="TOC2"/>
        <w:tabs>
          <w:tab w:val="left" w:pos="1134"/>
        </w:tabs>
        <w:rPr>
          <w:rFonts w:asciiTheme="minorHAnsi" w:eastAsiaTheme="minorEastAsia" w:hAnsiTheme="minorHAnsi" w:cstheme="minorBidi"/>
          <w:noProof/>
          <w:sz w:val="22"/>
          <w:szCs w:val="22"/>
          <w:lang w:val="nl-NL" w:eastAsia="nl-NL"/>
        </w:rPr>
      </w:pPr>
      <w:hyperlink w:anchor="_Toc7612973" w:history="1">
        <w:r w:rsidRPr="00E206EB">
          <w:rPr>
            <w:rStyle w:val="Hyperlink"/>
            <w:noProof/>
            <w:lang w:bidi="en-US"/>
          </w:rPr>
          <w:t>5.2</w:t>
        </w:r>
        <w:r>
          <w:rPr>
            <w:rFonts w:asciiTheme="minorHAnsi" w:eastAsiaTheme="minorEastAsia" w:hAnsiTheme="minorHAnsi" w:cstheme="minorBidi"/>
            <w:noProof/>
            <w:sz w:val="22"/>
            <w:szCs w:val="22"/>
            <w:lang w:val="nl-NL" w:eastAsia="nl-NL"/>
          </w:rPr>
          <w:tab/>
        </w:r>
        <w:r w:rsidRPr="00E206EB">
          <w:rPr>
            <w:rStyle w:val="Hyperlink"/>
            <w:noProof/>
            <w:lang w:bidi="en-US"/>
          </w:rPr>
          <w:t>Recent observations by other official European and international bodies</w:t>
        </w:r>
        <w:r>
          <w:rPr>
            <w:noProof/>
            <w:webHidden/>
          </w:rPr>
          <w:tab/>
        </w:r>
        <w:r>
          <w:rPr>
            <w:noProof/>
            <w:webHidden/>
          </w:rPr>
          <w:fldChar w:fldCharType="begin"/>
        </w:r>
        <w:r>
          <w:rPr>
            <w:noProof/>
            <w:webHidden/>
          </w:rPr>
          <w:instrText xml:space="preserve"> PAGEREF _Toc7612973 \h </w:instrText>
        </w:r>
        <w:r>
          <w:rPr>
            <w:noProof/>
            <w:webHidden/>
          </w:rPr>
        </w:r>
        <w:r>
          <w:rPr>
            <w:noProof/>
            <w:webHidden/>
          </w:rPr>
          <w:fldChar w:fldCharType="separate"/>
        </w:r>
        <w:r>
          <w:rPr>
            <w:noProof/>
            <w:webHidden/>
          </w:rPr>
          <w:t>26</w:t>
        </w:r>
        <w:r>
          <w:rPr>
            <w:noProof/>
            <w:webHidden/>
          </w:rPr>
          <w:fldChar w:fldCharType="end"/>
        </w:r>
      </w:hyperlink>
    </w:p>
    <w:p w:rsidR="002A7B5C" w:rsidRDefault="002A7B5C">
      <w:pPr>
        <w:pStyle w:val="TOC2"/>
        <w:tabs>
          <w:tab w:val="left" w:pos="1134"/>
        </w:tabs>
        <w:rPr>
          <w:rFonts w:asciiTheme="minorHAnsi" w:eastAsiaTheme="minorEastAsia" w:hAnsiTheme="minorHAnsi" w:cstheme="minorBidi"/>
          <w:noProof/>
          <w:sz w:val="22"/>
          <w:szCs w:val="22"/>
          <w:lang w:val="nl-NL" w:eastAsia="nl-NL"/>
        </w:rPr>
      </w:pPr>
      <w:hyperlink w:anchor="_Toc7612974" w:history="1">
        <w:r w:rsidRPr="00E206EB">
          <w:rPr>
            <w:rStyle w:val="Hyperlink"/>
            <w:rFonts w:cs="Arial"/>
            <w:noProof/>
            <w:lang w:bidi="en-US"/>
          </w:rPr>
          <w:t>5.3</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Observations and recommendations by national human rights bodies</w:t>
        </w:r>
        <w:r>
          <w:rPr>
            <w:noProof/>
            <w:webHidden/>
          </w:rPr>
          <w:tab/>
        </w:r>
        <w:r>
          <w:rPr>
            <w:noProof/>
            <w:webHidden/>
          </w:rPr>
          <w:fldChar w:fldCharType="begin"/>
        </w:r>
        <w:r>
          <w:rPr>
            <w:noProof/>
            <w:webHidden/>
          </w:rPr>
          <w:instrText xml:space="preserve"> PAGEREF _Toc7612974 \h </w:instrText>
        </w:r>
        <w:r>
          <w:rPr>
            <w:noProof/>
            <w:webHidden/>
          </w:rPr>
        </w:r>
        <w:r>
          <w:rPr>
            <w:noProof/>
            <w:webHidden/>
          </w:rPr>
          <w:fldChar w:fldCharType="separate"/>
        </w:r>
        <w:r>
          <w:rPr>
            <w:noProof/>
            <w:webHidden/>
          </w:rPr>
          <w:t>26</w:t>
        </w:r>
        <w:r>
          <w:rPr>
            <w:noProof/>
            <w:webHidden/>
          </w:rPr>
          <w:fldChar w:fldCharType="end"/>
        </w:r>
      </w:hyperlink>
    </w:p>
    <w:p w:rsidR="002A7B5C" w:rsidRDefault="002A7B5C">
      <w:pPr>
        <w:pStyle w:val="TOC2"/>
        <w:tabs>
          <w:tab w:val="left" w:pos="1134"/>
        </w:tabs>
        <w:rPr>
          <w:rFonts w:asciiTheme="minorHAnsi" w:eastAsiaTheme="minorEastAsia" w:hAnsiTheme="minorHAnsi" w:cstheme="minorBidi"/>
          <w:noProof/>
          <w:sz w:val="22"/>
          <w:szCs w:val="22"/>
          <w:lang w:val="nl-NL" w:eastAsia="nl-NL"/>
        </w:rPr>
      </w:pPr>
      <w:hyperlink w:anchor="_Toc7612975" w:history="1">
        <w:r w:rsidRPr="00E206EB">
          <w:rPr>
            <w:rStyle w:val="Hyperlink"/>
            <w:rFonts w:cs="Arial"/>
            <w:noProof/>
            <w:lang w:bidi="en-US"/>
          </w:rPr>
          <w:t>5.4</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Observations and recommendations by national or regional/devolved Parliaments and assemblies</w:t>
        </w:r>
        <w:r>
          <w:rPr>
            <w:noProof/>
            <w:webHidden/>
          </w:rPr>
          <w:tab/>
        </w:r>
        <w:r>
          <w:rPr>
            <w:noProof/>
            <w:webHidden/>
          </w:rPr>
          <w:fldChar w:fldCharType="begin"/>
        </w:r>
        <w:r>
          <w:rPr>
            <w:noProof/>
            <w:webHidden/>
          </w:rPr>
          <w:instrText xml:space="preserve"> PAGEREF _Toc7612975 \h </w:instrText>
        </w:r>
        <w:r>
          <w:rPr>
            <w:noProof/>
            <w:webHidden/>
          </w:rPr>
        </w:r>
        <w:r>
          <w:rPr>
            <w:noProof/>
            <w:webHidden/>
          </w:rPr>
          <w:fldChar w:fldCharType="separate"/>
        </w:r>
        <w:r>
          <w:rPr>
            <w:noProof/>
            <w:webHidden/>
          </w:rPr>
          <w:t>27</w:t>
        </w:r>
        <w:r>
          <w:rPr>
            <w:noProof/>
            <w:webHidden/>
          </w:rPr>
          <w:fldChar w:fldCharType="end"/>
        </w:r>
      </w:hyperlink>
    </w:p>
    <w:p w:rsidR="002A7B5C" w:rsidRDefault="002A7B5C">
      <w:pPr>
        <w:pStyle w:val="TOC1"/>
        <w:rPr>
          <w:rFonts w:asciiTheme="minorHAnsi" w:eastAsiaTheme="minorEastAsia" w:hAnsiTheme="minorHAnsi" w:cstheme="minorBidi"/>
          <w:noProof/>
          <w:sz w:val="22"/>
          <w:szCs w:val="22"/>
          <w:lang w:val="nl-NL" w:eastAsia="nl-NL"/>
        </w:rPr>
      </w:pPr>
      <w:hyperlink w:anchor="_Toc7612976" w:history="1">
        <w:r w:rsidRPr="00E206EB">
          <w:rPr>
            <w:rStyle w:val="Hyperlink"/>
            <w:noProof/>
            <w:lang w:bidi="en-US"/>
          </w:rPr>
          <w:t>6</w:t>
        </w:r>
        <w:r>
          <w:rPr>
            <w:rFonts w:asciiTheme="minorHAnsi" w:eastAsiaTheme="minorEastAsia" w:hAnsiTheme="minorHAnsi" w:cstheme="minorBidi"/>
            <w:noProof/>
            <w:sz w:val="22"/>
            <w:szCs w:val="22"/>
            <w:lang w:val="nl-NL" w:eastAsia="nl-NL"/>
          </w:rPr>
          <w:tab/>
        </w:r>
        <w:r w:rsidRPr="00E206EB">
          <w:rPr>
            <w:rStyle w:val="Hyperlink"/>
            <w:noProof/>
            <w:lang w:bidi="en-US"/>
          </w:rPr>
          <w:t>Views and perspectives of civil society including DPOs</w:t>
        </w:r>
        <w:r>
          <w:rPr>
            <w:noProof/>
            <w:webHidden/>
          </w:rPr>
          <w:tab/>
        </w:r>
        <w:r>
          <w:rPr>
            <w:noProof/>
            <w:webHidden/>
          </w:rPr>
          <w:fldChar w:fldCharType="begin"/>
        </w:r>
        <w:r>
          <w:rPr>
            <w:noProof/>
            <w:webHidden/>
          </w:rPr>
          <w:instrText xml:space="preserve"> PAGEREF _Toc7612976 \h </w:instrText>
        </w:r>
        <w:r>
          <w:rPr>
            <w:noProof/>
            <w:webHidden/>
          </w:rPr>
        </w:r>
        <w:r>
          <w:rPr>
            <w:noProof/>
            <w:webHidden/>
          </w:rPr>
          <w:fldChar w:fldCharType="separate"/>
        </w:r>
        <w:r>
          <w:rPr>
            <w:noProof/>
            <w:webHidden/>
          </w:rPr>
          <w:t>27</w:t>
        </w:r>
        <w:r>
          <w:rPr>
            <w:noProof/>
            <w:webHidden/>
          </w:rPr>
          <w:fldChar w:fldCharType="end"/>
        </w:r>
      </w:hyperlink>
    </w:p>
    <w:p w:rsidR="002A7B5C" w:rsidRDefault="002A7B5C">
      <w:pPr>
        <w:pStyle w:val="TOC2"/>
        <w:tabs>
          <w:tab w:val="left" w:pos="1134"/>
        </w:tabs>
        <w:rPr>
          <w:rFonts w:asciiTheme="minorHAnsi" w:eastAsiaTheme="minorEastAsia" w:hAnsiTheme="minorHAnsi" w:cstheme="minorBidi"/>
          <w:noProof/>
          <w:sz w:val="22"/>
          <w:szCs w:val="22"/>
          <w:lang w:val="nl-NL" w:eastAsia="nl-NL"/>
        </w:rPr>
      </w:pPr>
      <w:hyperlink w:anchor="_Toc7612977" w:history="1">
        <w:r w:rsidRPr="00E206EB">
          <w:rPr>
            <w:rStyle w:val="Hyperlink"/>
            <w:rFonts w:cs="Arial"/>
            <w:noProof/>
            <w:lang w:bidi="en-US"/>
          </w:rPr>
          <w:t>6.1</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UNCRPD civil society shadow and alternative reports</w:t>
        </w:r>
        <w:r>
          <w:rPr>
            <w:noProof/>
            <w:webHidden/>
          </w:rPr>
          <w:tab/>
        </w:r>
        <w:r>
          <w:rPr>
            <w:noProof/>
            <w:webHidden/>
          </w:rPr>
          <w:fldChar w:fldCharType="begin"/>
        </w:r>
        <w:r>
          <w:rPr>
            <w:noProof/>
            <w:webHidden/>
          </w:rPr>
          <w:instrText xml:space="preserve"> PAGEREF _Toc7612977 \h </w:instrText>
        </w:r>
        <w:r>
          <w:rPr>
            <w:noProof/>
            <w:webHidden/>
          </w:rPr>
        </w:r>
        <w:r>
          <w:rPr>
            <w:noProof/>
            <w:webHidden/>
          </w:rPr>
          <w:fldChar w:fldCharType="separate"/>
        </w:r>
        <w:r>
          <w:rPr>
            <w:noProof/>
            <w:webHidden/>
          </w:rPr>
          <w:t>28</w:t>
        </w:r>
        <w:r>
          <w:rPr>
            <w:noProof/>
            <w:webHidden/>
          </w:rPr>
          <w:fldChar w:fldCharType="end"/>
        </w:r>
      </w:hyperlink>
    </w:p>
    <w:p w:rsidR="002A7B5C" w:rsidRDefault="002A7B5C">
      <w:pPr>
        <w:pStyle w:val="TOC2"/>
        <w:tabs>
          <w:tab w:val="left" w:pos="1134"/>
        </w:tabs>
        <w:rPr>
          <w:rFonts w:asciiTheme="minorHAnsi" w:eastAsiaTheme="minorEastAsia" w:hAnsiTheme="minorHAnsi" w:cstheme="minorBidi"/>
          <w:noProof/>
          <w:sz w:val="22"/>
          <w:szCs w:val="22"/>
          <w:lang w:val="nl-NL" w:eastAsia="nl-NL"/>
        </w:rPr>
      </w:pPr>
      <w:hyperlink w:anchor="_Toc7612978" w:history="1">
        <w:r w:rsidRPr="00E206EB">
          <w:rPr>
            <w:rStyle w:val="Hyperlink"/>
            <w:rFonts w:cs="Arial"/>
            <w:noProof/>
            <w:lang w:bidi="en-US"/>
          </w:rPr>
          <w:t>6.2</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‘Grey literature’ at the national level</w:t>
        </w:r>
        <w:r>
          <w:rPr>
            <w:noProof/>
            <w:webHidden/>
          </w:rPr>
          <w:tab/>
        </w:r>
        <w:r>
          <w:rPr>
            <w:noProof/>
            <w:webHidden/>
          </w:rPr>
          <w:fldChar w:fldCharType="begin"/>
        </w:r>
        <w:r>
          <w:rPr>
            <w:noProof/>
            <w:webHidden/>
          </w:rPr>
          <w:instrText xml:space="preserve"> PAGEREF _Toc7612978 \h </w:instrText>
        </w:r>
        <w:r>
          <w:rPr>
            <w:noProof/>
            <w:webHidden/>
          </w:rPr>
        </w:r>
        <w:r>
          <w:rPr>
            <w:noProof/>
            <w:webHidden/>
          </w:rPr>
          <w:fldChar w:fldCharType="separate"/>
        </w:r>
        <w:r>
          <w:rPr>
            <w:noProof/>
            <w:webHidden/>
          </w:rPr>
          <w:t>30</w:t>
        </w:r>
        <w:r>
          <w:rPr>
            <w:noProof/>
            <w:webHidden/>
          </w:rPr>
          <w:fldChar w:fldCharType="end"/>
        </w:r>
      </w:hyperlink>
    </w:p>
    <w:p w:rsidR="002A7B5C" w:rsidRDefault="002A7B5C">
      <w:pPr>
        <w:pStyle w:val="TOC2"/>
        <w:tabs>
          <w:tab w:val="left" w:pos="1134"/>
        </w:tabs>
        <w:rPr>
          <w:rFonts w:asciiTheme="minorHAnsi" w:eastAsiaTheme="minorEastAsia" w:hAnsiTheme="minorHAnsi" w:cstheme="minorBidi"/>
          <w:noProof/>
          <w:sz w:val="22"/>
          <w:szCs w:val="22"/>
          <w:lang w:val="nl-NL" w:eastAsia="nl-NL"/>
        </w:rPr>
      </w:pPr>
      <w:hyperlink w:anchor="_Toc7612979" w:history="1">
        <w:r w:rsidRPr="00E206EB">
          <w:rPr>
            <w:rStyle w:val="Hyperlink"/>
            <w:rFonts w:cs="Arial"/>
            <w:noProof/>
            <w:lang w:bidi="en-US"/>
          </w:rPr>
          <w:t>6.3</w:t>
        </w:r>
        <w:r>
          <w:rPr>
            <w:rFonts w:asciiTheme="minorHAnsi" w:eastAsiaTheme="minorEastAsia" w:hAnsiTheme="minorHAnsi" w:cstheme="minorBidi"/>
            <w:noProof/>
            <w:sz w:val="22"/>
            <w:szCs w:val="22"/>
            <w:lang w:val="nl-NL" w:eastAsia="nl-NL"/>
          </w:rPr>
          <w:tab/>
        </w:r>
        <w:r w:rsidRPr="00E206EB">
          <w:rPr>
            <w:rStyle w:val="Hyperlink"/>
            <w:rFonts w:cs="Arial"/>
            <w:noProof/>
            <w:lang w:bidi="en-US"/>
          </w:rPr>
          <w:t>Pan-European and international civil society organisations</w:t>
        </w:r>
        <w:r>
          <w:rPr>
            <w:noProof/>
            <w:webHidden/>
          </w:rPr>
          <w:tab/>
        </w:r>
        <w:r>
          <w:rPr>
            <w:noProof/>
            <w:webHidden/>
          </w:rPr>
          <w:fldChar w:fldCharType="begin"/>
        </w:r>
        <w:r>
          <w:rPr>
            <w:noProof/>
            <w:webHidden/>
          </w:rPr>
          <w:instrText xml:space="preserve"> PAGEREF _Toc7612979 \h </w:instrText>
        </w:r>
        <w:r>
          <w:rPr>
            <w:noProof/>
            <w:webHidden/>
          </w:rPr>
        </w:r>
        <w:r>
          <w:rPr>
            <w:noProof/>
            <w:webHidden/>
          </w:rPr>
          <w:fldChar w:fldCharType="separate"/>
        </w:r>
        <w:r>
          <w:rPr>
            <w:noProof/>
            <w:webHidden/>
          </w:rPr>
          <w:t>30</w:t>
        </w:r>
        <w:r>
          <w:rPr>
            <w:noProof/>
            <w:webHidden/>
          </w:rPr>
          <w:fldChar w:fldCharType="end"/>
        </w:r>
      </w:hyperlink>
    </w:p>
    <w:p w:rsidR="002A7B5C" w:rsidRDefault="002A7B5C">
      <w:pPr>
        <w:pStyle w:val="TOC1"/>
        <w:rPr>
          <w:rFonts w:asciiTheme="minorHAnsi" w:eastAsiaTheme="minorEastAsia" w:hAnsiTheme="minorHAnsi" w:cstheme="minorBidi"/>
          <w:noProof/>
          <w:sz w:val="22"/>
          <w:szCs w:val="22"/>
          <w:lang w:val="nl-NL" w:eastAsia="nl-NL"/>
        </w:rPr>
      </w:pPr>
      <w:hyperlink w:anchor="_Toc7612980" w:history="1">
        <w:r w:rsidRPr="00E206EB">
          <w:rPr>
            <w:rStyle w:val="Hyperlink"/>
            <w:noProof/>
            <w:lang w:bidi="en-US"/>
          </w:rPr>
          <w:t>7</w:t>
        </w:r>
        <w:r>
          <w:rPr>
            <w:rFonts w:asciiTheme="minorHAnsi" w:eastAsiaTheme="minorEastAsia" w:hAnsiTheme="minorHAnsi" w:cstheme="minorBidi"/>
            <w:noProof/>
            <w:sz w:val="22"/>
            <w:szCs w:val="22"/>
            <w:lang w:val="nl-NL" w:eastAsia="nl-NL"/>
          </w:rPr>
          <w:tab/>
        </w:r>
        <w:r w:rsidRPr="00E206EB">
          <w:rPr>
            <w:rStyle w:val="Hyperlink"/>
            <w:noProof/>
            <w:lang w:bidi="en-US"/>
          </w:rPr>
          <w:t>Academic research</w:t>
        </w:r>
        <w:r>
          <w:rPr>
            <w:noProof/>
            <w:webHidden/>
          </w:rPr>
          <w:tab/>
        </w:r>
        <w:r>
          <w:rPr>
            <w:noProof/>
            <w:webHidden/>
          </w:rPr>
          <w:fldChar w:fldCharType="begin"/>
        </w:r>
        <w:r>
          <w:rPr>
            <w:noProof/>
            <w:webHidden/>
          </w:rPr>
          <w:instrText xml:space="preserve"> PAGEREF _Toc7612980 \h </w:instrText>
        </w:r>
        <w:r>
          <w:rPr>
            <w:noProof/>
            <w:webHidden/>
          </w:rPr>
        </w:r>
        <w:r>
          <w:rPr>
            <w:noProof/>
            <w:webHidden/>
          </w:rPr>
          <w:fldChar w:fldCharType="separate"/>
        </w:r>
        <w:r>
          <w:rPr>
            <w:noProof/>
            <w:webHidden/>
          </w:rPr>
          <w:t>31</w:t>
        </w:r>
        <w:r>
          <w:rPr>
            <w:noProof/>
            <w:webHidden/>
          </w:rPr>
          <w:fldChar w:fldCharType="end"/>
        </w:r>
      </w:hyperlink>
    </w:p>
    <w:p w:rsidR="002A7B5C" w:rsidRDefault="002A7B5C">
      <w:pPr>
        <w:pStyle w:val="TOC1"/>
        <w:rPr>
          <w:rFonts w:asciiTheme="minorHAnsi" w:eastAsiaTheme="minorEastAsia" w:hAnsiTheme="minorHAnsi" w:cstheme="minorBidi"/>
          <w:noProof/>
          <w:sz w:val="22"/>
          <w:szCs w:val="22"/>
          <w:lang w:val="nl-NL" w:eastAsia="nl-NL"/>
        </w:rPr>
      </w:pPr>
      <w:hyperlink w:anchor="_Toc7612981" w:history="1">
        <w:r w:rsidRPr="00E206EB">
          <w:rPr>
            <w:rStyle w:val="Hyperlink"/>
            <w:noProof/>
            <w:lang w:bidi="en-US"/>
          </w:rPr>
          <w:t>PART C – Key points</w:t>
        </w:r>
        <w:r>
          <w:rPr>
            <w:noProof/>
            <w:webHidden/>
          </w:rPr>
          <w:tab/>
        </w:r>
        <w:r>
          <w:rPr>
            <w:noProof/>
            <w:webHidden/>
          </w:rPr>
          <w:fldChar w:fldCharType="begin"/>
        </w:r>
        <w:r>
          <w:rPr>
            <w:noProof/>
            <w:webHidden/>
          </w:rPr>
          <w:instrText xml:space="preserve"> PAGEREF _Toc7612981 \h </w:instrText>
        </w:r>
        <w:r>
          <w:rPr>
            <w:noProof/>
            <w:webHidden/>
          </w:rPr>
        </w:r>
        <w:r>
          <w:rPr>
            <w:noProof/>
            <w:webHidden/>
          </w:rPr>
          <w:fldChar w:fldCharType="separate"/>
        </w:r>
        <w:r>
          <w:rPr>
            <w:noProof/>
            <w:webHidden/>
          </w:rPr>
          <w:t>32</w:t>
        </w:r>
        <w:r>
          <w:rPr>
            <w:noProof/>
            <w:webHidden/>
          </w:rPr>
          <w:fldChar w:fldCharType="end"/>
        </w:r>
      </w:hyperlink>
    </w:p>
    <w:p w:rsidR="002A7B5C" w:rsidRDefault="002A7B5C">
      <w:pPr>
        <w:pStyle w:val="TOC1"/>
        <w:rPr>
          <w:rFonts w:asciiTheme="minorHAnsi" w:eastAsiaTheme="minorEastAsia" w:hAnsiTheme="minorHAnsi" w:cstheme="minorBidi"/>
          <w:noProof/>
          <w:sz w:val="22"/>
          <w:szCs w:val="22"/>
          <w:lang w:val="nl-NL" w:eastAsia="nl-NL"/>
        </w:rPr>
      </w:pPr>
      <w:hyperlink w:anchor="_Toc7612982" w:history="1">
        <w:r w:rsidRPr="00E206EB">
          <w:rPr>
            <w:rStyle w:val="Hyperlink"/>
            <w:noProof/>
            <w:lang w:bidi="en-US"/>
          </w:rPr>
          <w:t>8</w:t>
        </w:r>
        <w:r>
          <w:rPr>
            <w:rFonts w:asciiTheme="minorHAnsi" w:eastAsiaTheme="minorEastAsia" w:hAnsiTheme="minorHAnsi" w:cstheme="minorBidi"/>
            <w:noProof/>
            <w:sz w:val="22"/>
            <w:szCs w:val="22"/>
            <w:lang w:val="nl-NL" w:eastAsia="nl-NL"/>
          </w:rPr>
          <w:tab/>
        </w:r>
        <w:r w:rsidRPr="00E206EB">
          <w:rPr>
            <w:rStyle w:val="Hyperlink"/>
            <w:noProof/>
            <w:lang w:bidi="en-US"/>
          </w:rPr>
          <w:t>Positive developments, including promising practice examples</w:t>
        </w:r>
        <w:r>
          <w:rPr>
            <w:noProof/>
            <w:webHidden/>
          </w:rPr>
          <w:tab/>
        </w:r>
        <w:r>
          <w:rPr>
            <w:noProof/>
            <w:webHidden/>
          </w:rPr>
          <w:fldChar w:fldCharType="begin"/>
        </w:r>
        <w:r>
          <w:rPr>
            <w:noProof/>
            <w:webHidden/>
          </w:rPr>
          <w:instrText xml:space="preserve"> PAGEREF _Toc7612982 \h </w:instrText>
        </w:r>
        <w:r>
          <w:rPr>
            <w:noProof/>
            <w:webHidden/>
          </w:rPr>
        </w:r>
        <w:r>
          <w:rPr>
            <w:noProof/>
            <w:webHidden/>
          </w:rPr>
          <w:fldChar w:fldCharType="separate"/>
        </w:r>
        <w:r>
          <w:rPr>
            <w:noProof/>
            <w:webHidden/>
          </w:rPr>
          <w:t>32</w:t>
        </w:r>
        <w:r>
          <w:rPr>
            <w:noProof/>
            <w:webHidden/>
          </w:rPr>
          <w:fldChar w:fldCharType="end"/>
        </w:r>
      </w:hyperlink>
    </w:p>
    <w:p w:rsidR="002A7B5C" w:rsidRDefault="002A7B5C">
      <w:pPr>
        <w:pStyle w:val="TOC1"/>
        <w:rPr>
          <w:rFonts w:asciiTheme="minorHAnsi" w:eastAsiaTheme="minorEastAsia" w:hAnsiTheme="minorHAnsi" w:cstheme="minorBidi"/>
          <w:noProof/>
          <w:sz w:val="22"/>
          <w:szCs w:val="22"/>
          <w:lang w:val="nl-NL" w:eastAsia="nl-NL"/>
        </w:rPr>
      </w:pPr>
      <w:hyperlink w:anchor="_Toc7612983" w:history="1">
        <w:r w:rsidRPr="00E206EB">
          <w:rPr>
            <w:rStyle w:val="Hyperlink"/>
            <w:noProof/>
            <w:lang w:bidi="en-US"/>
          </w:rPr>
          <w:t>9</w:t>
        </w:r>
        <w:r>
          <w:rPr>
            <w:rFonts w:asciiTheme="minorHAnsi" w:eastAsiaTheme="minorEastAsia" w:hAnsiTheme="minorHAnsi" w:cstheme="minorBidi"/>
            <w:noProof/>
            <w:sz w:val="22"/>
            <w:szCs w:val="22"/>
            <w:lang w:val="nl-NL" w:eastAsia="nl-NL"/>
          </w:rPr>
          <w:tab/>
        </w:r>
        <w:r w:rsidRPr="00E206EB">
          <w:rPr>
            <w:rStyle w:val="Hyperlink"/>
            <w:noProof/>
            <w:lang w:bidi="en-US"/>
          </w:rPr>
          <w:t>Negative developments including examples of poor practice</w:t>
        </w:r>
        <w:r>
          <w:rPr>
            <w:noProof/>
            <w:webHidden/>
          </w:rPr>
          <w:tab/>
        </w:r>
        <w:r>
          <w:rPr>
            <w:noProof/>
            <w:webHidden/>
          </w:rPr>
          <w:fldChar w:fldCharType="begin"/>
        </w:r>
        <w:r>
          <w:rPr>
            <w:noProof/>
            <w:webHidden/>
          </w:rPr>
          <w:instrText xml:space="preserve"> PAGEREF _Toc7612983 \h </w:instrText>
        </w:r>
        <w:r>
          <w:rPr>
            <w:noProof/>
            <w:webHidden/>
          </w:rPr>
        </w:r>
        <w:r>
          <w:rPr>
            <w:noProof/>
            <w:webHidden/>
          </w:rPr>
          <w:fldChar w:fldCharType="separate"/>
        </w:r>
        <w:r>
          <w:rPr>
            <w:noProof/>
            <w:webHidden/>
          </w:rPr>
          <w:t>32</w:t>
        </w:r>
        <w:r>
          <w:rPr>
            <w:noProof/>
            <w:webHidden/>
          </w:rPr>
          <w:fldChar w:fldCharType="end"/>
        </w:r>
      </w:hyperlink>
    </w:p>
    <w:p w:rsidR="002A7B5C" w:rsidRDefault="002A7B5C">
      <w:pPr>
        <w:pStyle w:val="TOC1"/>
        <w:rPr>
          <w:rFonts w:asciiTheme="minorHAnsi" w:eastAsiaTheme="minorEastAsia" w:hAnsiTheme="minorHAnsi" w:cstheme="minorBidi"/>
          <w:noProof/>
          <w:sz w:val="22"/>
          <w:szCs w:val="22"/>
          <w:lang w:val="nl-NL" w:eastAsia="nl-NL"/>
        </w:rPr>
      </w:pPr>
      <w:hyperlink w:anchor="_Toc7612984" w:history="1">
        <w:r w:rsidRPr="00E206EB">
          <w:rPr>
            <w:rStyle w:val="Hyperlink"/>
            <w:noProof/>
            <w:lang w:bidi="en-US"/>
          </w:rPr>
          <w:t>10</w:t>
        </w:r>
        <w:r>
          <w:rPr>
            <w:rFonts w:asciiTheme="minorHAnsi" w:eastAsiaTheme="minorEastAsia" w:hAnsiTheme="minorHAnsi" w:cstheme="minorBidi"/>
            <w:noProof/>
            <w:sz w:val="22"/>
            <w:szCs w:val="22"/>
            <w:lang w:val="nl-NL" w:eastAsia="nl-NL"/>
          </w:rPr>
          <w:tab/>
        </w:r>
        <w:r w:rsidRPr="00E206EB">
          <w:rPr>
            <w:rStyle w:val="Hyperlink"/>
            <w:noProof/>
            <w:lang w:bidi="en-US"/>
          </w:rPr>
          <w:t>Recommendations</w:t>
        </w:r>
        <w:r>
          <w:rPr>
            <w:noProof/>
            <w:webHidden/>
          </w:rPr>
          <w:tab/>
        </w:r>
        <w:r>
          <w:rPr>
            <w:noProof/>
            <w:webHidden/>
          </w:rPr>
          <w:fldChar w:fldCharType="begin"/>
        </w:r>
        <w:r>
          <w:rPr>
            <w:noProof/>
            <w:webHidden/>
          </w:rPr>
          <w:instrText xml:space="preserve"> PAGEREF _Toc7612984 \h </w:instrText>
        </w:r>
        <w:r>
          <w:rPr>
            <w:noProof/>
            <w:webHidden/>
          </w:rPr>
        </w:r>
        <w:r>
          <w:rPr>
            <w:noProof/>
            <w:webHidden/>
          </w:rPr>
          <w:fldChar w:fldCharType="separate"/>
        </w:r>
        <w:r>
          <w:rPr>
            <w:noProof/>
            <w:webHidden/>
          </w:rPr>
          <w:t>33</w:t>
        </w:r>
        <w:r>
          <w:rPr>
            <w:noProof/>
            <w:webHidden/>
          </w:rPr>
          <w:fldChar w:fldCharType="end"/>
        </w:r>
      </w:hyperlink>
    </w:p>
    <w:p w:rsidR="002A7B5C" w:rsidRDefault="002A7B5C">
      <w:pPr>
        <w:pStyle w:val="TOC1"/>
        <w:rPr>
          <w:rFonts w:asciiTheme="minorHAnsi" w:eastAsiaTheme="minorEastAsia" w:hAnsiTheme="minorHAnsi" w:cstheme="minorBidi"/>
          <w:noProof/>
          <w:sz w:val="22"/>
          <w:szCs w:val="22"/>
          <w:lang w:val="nl-NL" w:eastAsia="nl-NL"/>
        </w:rPr>
      </w:pPr>
      <w:hyperlink w:anchor="_Toc7612985" w:history="1">
        <w:r w:rsidRPr="00E206EB">
          <w:rPr>
            <w:rStyle w:val="Hyperlink"/>
            <w:noProof/>
            <w:lang w:bidi="en-US"/>
          </w:rPr>
          <w:t>APPEN</w:t>
        </w:r>
        <w:r w:rsidRPr="00E206EB">
          <w:rPr>
            <w:rStyle w:val="Hyperlink"/>
            <w:noProof/>
            <w:lang w:bidi="en-US"/>
          </w:rPr>
          <w:t>D</w:t>
        </w:r>
        <w:r w:rsidRPr="00E206EB">
          <w:rPr>
            <w:rStyle w:val="Hyperlink"/>
            <w:noProof/>
            <w:lang w:bidi="en-US"/>
          </w:rPr>
          <w:t>IX</w:t>
        </w:r>
        <w:r>
          <w:rPr>
            <w:noProof/>
            <w:webHidden/>
          </w:rPr>
          <w:tab/>
        </w:r>
        <w:r>
          <w:rPr>
            <w:noProof/>
            <w:webHidden/>
          </w:rPr>
          <w:fldChar w:fldCharType="begin"/>
        </w:r>
        <w:r>
          <w:rPr>
            <w:noProof/>
            <w:webHidden/>
          </w:rPr>
          <w:instrText xml:space="preserve"> PAGEREF _Toc7612985 \h </w:instrText>
        </w:r>
        <w:r>
          <w:rPr>
            <w:noProof/>
            <w:webHidden/>
          </w:rPr>
        </w:r>
        <w:r>
          <w:rPr>
            <w:noProof/>
            <w:webHidden/>
          </w:rPr>
          <w:fldChar w:fldCharType="separate"/>
        </w:r>
        <w:r>
          <w:rPr>
            <w:noProof/>
            <w:webHidden/>
          </w:rPr>
          <w:t>35</w:t>
        </w:r>
        <w:r>
          <w:rPr>
            <w:noProof/>
            <w:webHidden/>
          </w:rPr>
          <w:fldChar w:fldCharType="end"/>
        </w:r>
      </w:hyperlink>
    </w:p>
    <w:p w:rsidR="00A75929" w:rsidRPr="002A7B5C" w:rsidRDefault="00A75929" w:rsidP="002A7B5C">
      <w:pPr>
        <w:rPr>
          <w:rFonts w:eastAsia="MS Gothic"/>
          <w:sz w:val="2"/>
        </w:rPr>
      </w:pPr>
      <w:r w:rsidRPr="00B92503">
        <w:fldChar w:fldCharType="end"/>
      </w:r>
    </w:p>
    <w:p w:rsidR="008E4ACD" w:rsidRPr="00B92503" w:rsidRDefault="008E4ACD" w:rsidP="00B92503">
      <w:pPr>
        <w:pStyle w:val="Heading1"/>
        <w:numPr>
          <w:ilvl w:val="0"/>
          <w:numId w:val="0"/>
        </w:numPr>
        <w:rPr>
          <w:rFonts w:cs="Arial"/>
          <w:szCs w:val="24"/>
        </w:rPr>
      </w:pPr>
      <w:bookmarkStart w:id="3" w:name="_TOC_250031"/>
      <w:bookmarkStart w:id="4" w:name="_Toc529874055"/>
      <w:bookmarkStart w:id="5" w:name="_Toc7612951"/>
      <w:bookmarkStart w:id="6" w:name="_GoBack"/>
      <w:bookmarkEnd w:id="3"/>
      <w:bookmarkEnd w:id="6"/>
      <w:r w:rsidRPr="00B92503">
        <w:rPr>
          <w:rFonts w:cs="Arial"/>
          <w:szCs w:val="24"/>
        </w:rPr>
        <w:t>PART A</w:t>
      </w:r>
      <w:bookmarkEnd w:id="0"/>
      <w:r w:rsidR="00622FC0" w:rsidRPr="00B92503">
        <w:rPr>
          <w:rFonts w:cs="Arial"/>
          <w:szCs w:val="24"/>
        </w:rPr>
        <w:t xml:space="preserve"> – F</w:t>
      </w:r>
      <w:r w:rsidRPr="00B92503">
        <w:rPr>
          <w:rFonts w:cs="Arial"/>
          <w:szCs w:val="24"/>
        </w:rPr>
        <w:t xml:space="preserve">actual </w:t>
      </w:r>
      <w:r w:rsidR="00A75929" w:rsidRPr="00B92503">
        <w:rPr>
          <w:rFonts w:cs="Arial"/>
          <w:szCs w:val="24"/>
        </w:rPr>
        <w:t>i</w:t>
      </w:r>
      <w:r w:rsidRPr="00B92503">
        <w:rPr>
          <w:rFonts w:cs="Arial"/>
          <w:szCs w:val="24"/>
        </w:rPr>
        <w:t xml:space="preserve">nformation and </w:t>
      </w:r>
      <w:r w:rsidR="00A75929" w:rsidRPr="00B92503">
        <w:rPr>
          <w:rFonts w:cs="Arial"/>
          <w:szCs w:val="24"/>
        </w:rPr>
        <w:t>s</w:t>
      </w:r>
      <w:r w:rsidR="00ED6A9A" w:rsidRPr="00B92503">
        <w:rPr>
          <w:rFonts w:cs="Arial"/>
          <w:szCs w:val="24"/>
        </w:rPr>
        <w:t xml:space="preserve">tatistical </w:t>
      </w:r>
      <w:r w:rsidR="00A75929" w:rsidRPr="00B92503">
        <w:rPr>
          <w:rFonts w:cs="Arial"/>
          <w:szCs w:val="24"/>
        </w:rPr>
        <w:t>d</w:t>
      </w:r>
      <w:r w:rsidRPr="00B92503">
        <w:rPr>
          <w:rFonts w:cs="Arial"/>
          <w:szCs w:val="24"/>
        </w:rPr>
        <w:t>ata</w:t>
      </w:r>
      <w:bookmarkEnd w:id="4"/>
      <w:bookmarkEnd w:id="5"/>
    </w:p>
    <w:p w:rsidR="00371B52" w:rsidRPr="00B92503" w:rsidRDefault="00371B52" w:rsidP="00B92503">
      <w:pPr>
        <w:rPr>
          <w:rFonts w:cs="Arial"/>
          <w:szCs w:val="24"/>
          <w:lang w:bidi="en-US"/>
        </w:rPr>
      </w:pPr>
    </w:p>
    <w:p w:rsidR="008E4ACD" w:rsidRPr="00B92503" w:rsidRDefault="008E4ACD" w:rsidP="00B92503">
      <w:pPr>
        <w:pStyle w:val="Heading1"/>
      </w:pPr>
      <w:bookmarkStart w:id="7" w:name="_TOC_250030"/>
      <w:bookmarkStart w:id="8" w:name="_Toc529874056"/>
      <w:bookmarkStart w:id="9" w:name="_Toc7612952"/>
      <w:bookmarkEnd w:id="1"/>
      <w:bookmarkEnd w:id="2"/>
      <w:r w:rsidRPr="00B92503">
        <w:t xml:space="preserve">Current situation and direction of </w:t>
      </w:r>
      <w:bookmarkEnd w:id="7"/>
      <w:r w:rsidRPr="00B92503">
        <w:t>travel</w:t>
      </w:r>
      <w:bookmarkEnd w:id="8"/>
      <w:bookmarkEnd w:id="9"/>
    </w:p>
    <w:p w:rsidR="00371B52" w:rsidRPr="00B92503" w:rsidRDefault="00371B52" w:rsidP="00B92503">
      <w:pPr>
        <w:rPr>
          <w:rFonts w:cs="Arial"/>
          <w:szCs w:val="24"/>
        </w:rPr>
      </w:pPr>
    </w:p>
    <w:p w:rsidR="008E4ACD" w:rsidRPr="00B92503" w:rsidRDefault="00AE55CA" w:rsidP="00B92503">
      <w:r w:rsidRPr="00B92503">
        <w:t xml:space="preserve">A major </w:t>
      </w:r>
      <w:r w:rsidR="002550EE" w:rsidRPr="00B92503">
        <w:t>chall</w:t>
      </w:r>
      <w:r w:rsidR="00D16AC4" w:rsidRPr="00B92503">
        <w:t>e</w:t>
      </w:r>
      <w:r w:rsidR="002550EE" w:rsidRPr="00B92503">
        <w:t>nge</w:t>
      </w:r>
      <w:r w:rsidRPr="00B92503">
        <w:t xml:space="preserve"> concerning Luxembourg is the lack </w:t>
      </w:r>
      <w:r w:rsidR="00542E38" w:rsidRPr="00B92503">
        <w:t xml:space="preserve">of </w:t>
      </w:r>
      <w:r w:rsidR="002C7334" w:rsidRPr="00B92503">
        <w:t xml:space="preserve">data </w:t>
      </w:r>
      <w:r w:rsidRPr="00B92503">
        <w:t xml:space="preserve">or </w:t>
      </w:r>
      <w:r w:rsidR="00BA2D35" w:rsidRPr="00B92503">
        <w:t xml:space="preserve">the </w:t>
      </w:r>
      <w:r w:rsidRPr="00B92503">
        <w:t xml:space="preserve">insufficient availability of data on some of the </w:t>
      </w:r>
      <w:r w:rsidR="002C7334" w:rsidRPr="00B92503">
        <w:t>concernin</w:t>
      </w:r>
      <w:r w:rsidRPr="00B92503">
        <w:t xml:space="preserve">g issues. The </w:t>
      </w:r>
      <w:r w:rsidR="009974E2" w:rsidRPr="00B92503">
        <w:t xml:space="preserve">international, European, and </w:t>
      </w:r>
      <w:r w:rsidRPr="00B92503">
        <w:t>national compilations of data on independent living and related issues indicate sometimes "blanks" for Luxembourg</w:t>
      </w:r>
      <w:r w:rsidR="002C7334" w:rsidRPr="00B92503">
        <w:t xml:space="preserve"> or merely estimations</w:t>
      </w:r>
      <w:r w:rsidR="009974E2" w:rsidRPr="00B92503">
        <w:t xml:space="preserve"> in the corresponding tables</w:t>
      </w:r>
      <w:r w:rsidR="00542E38" w:rsidRPr="00B92503">
        <w:t>.</w:t>
      </w:r>
      <w:r w:rsidRPr="00B92503">
        <w:t xml:space="preserve"> </w:t>
      </w:r>
      <w:r w:rsidR="0004682B" w:rsidRPr="00B92503">
        <w:t xml:space="preserve">In addition, the figures do not allow direct evidence to be derived </w:t>
      </w:r>
      <w:proofErr w:type="gramStart"/>
      <w:r w:rsidR="0004682B" w:rsidRPr="00B92503">
        <w:t>on the situation of</w:t>
      </w:r>
      <w:proofErr w:type="gramEnd"/>
      <w:r w:rsidR="0004682B" w:rsidRPr="00B92503">
        <w:t xml:space="preserve"> people with disabilities, as no disability-related internal differentiation is made. </w:t>
      </w:r>
      <w:r w:rsidR="00542E38" w:rsidRPr="00B92503">
        <w:t>F</w:t>
      </w:r>
      <w:r w:rsidRPr="00B92503">
        <w:t>or example</w:t>
      </w:r>
      <w:r w:rsidR="008A1FE2" w:rsidRPr="00B92503">
        <w:t>,</w:t>
      </w:r>
      <w:r w:rsidRPr="00B92503">
        <w:t xml:space="preserve"> the OECD data collections</w:t>
      </w:r>
      <w:r w:rsidR="00542E38" w:rsidRPr="00B92503">
        <w:rPr>
          <w:rStyle w:val="FootnoteReference"/>
          <w:rFonts w:cs="Arial"/>
          <w:sz w:val="24"/>
          <w:szCs w:val="24"/>
        </w:rPr>
        <w:footnoteReference w:id="2"/>
      </w:r>
      <w:r w:rsidRPr="00B92503">
        <w:t xml:space="preserve"> on institutionalised and independent livin</w:t>
      </w:r>
      <w:r w:rsidR="00542E38" w:rsidRPr="00B92503">
        <w:t>g are not broken down by disability: Thus</w:t>
      </w:r>
      <w:r w:rsidR="008A1FE2" w:rsidRPr="00B92503">
        <w:t>,</w:t>
      </w:r>
      <w:r w:rsidR="0004682B" w:rsidRPr="00B92503">
        <w:t xml:space="preserve"> </w:t>
      </w:r>
      <w:r w:rsidR="0004682B" w:rsidRPr="007E08F2">
        <w:t>indicator</w:t>
      </w:r>
      <w:r w:rsidR="00542E38" w:rsidRPr="007E08F2">
        <w:t xml:space="preserve">s like number of </w:t>
      </w:r>
      <w:r w:rsidR="0004682B" w:rsidRPr="007E08F2">
        <w:t>beds in nursing and residential care facilities</w:t>
      </w:r>
      <w:r w:rsidR="00542E38" w:rsidRPr="007E08F2">
        <w:t>; long time care recipients in institutions or at home can only</w:t>
      </w:r>
      <w:r w:rsidR="00542E38" w:rsidRPr="00B92503">
        <w:t xml:space="preserve"> be used as indirect estimates for independent living of people with disabilities.</w:t>
      </w:r>
      <w:r w:rsidR="002C7334" w:rsidRPr="00B92503">
        <w:t xml:space="preserve"> </w:t>
      </w:r>
    </w:p>
    <w:p w:rsidR="00371B52" w:rsidRPr="00B92503" w:rsidRDefault="00371B52" w:rsidP="00B92503">
      <w:pPr>
        <w:rPr>
          <w:rFonts w:cs="Arial"/>
          <w:szCs w:val="24"/>
        </w:rPr>
      </w:pPr>
    </w:p>
    <w:p w:rsidR="008A78D9" w:rsidRPr="00B92503" w:rsidRDefault="008A78D9" w:rsidP="00B92503">
      <w:pPr>
        <w:rPr>
          <w:rFonts w:cs="Arial"/>
          <w:szCs w:val="24"/>
          <w:lang w:val="en-US"/>
        </w:rPr>
      </w:pPr>
      <w:r w:rsidRPr="00B92503">
        <w:rPr>
          <w:rFonts w:cs="Arial"/>
          <w:szCs w:val="24"/>
        </w:rPr>
        <w:t>The beginning of de</w:t>
      </w:r>
      <w:r w:rsidR="008A1FE2" w:rsidRPr="00B92503">
        <w:rPr>
          <w:rFonts w:cs="Arial"/>
          <w:szCs w:val="24"/>
        </w:rPr>
        <w:t>-</w:t>
      </w:r>
      <w:r w:rsidRPr="00B92503">
        <w:rPr>
          <w:rFonts w:cs="Arial"/>
          <w:szCs w:val="24"/>
        </w:rPr>
        <w:t>institutionali</w:t>
      </w:r>
      <w:r w:rsidR="008A1FE2" w:rsidRPr="00B92503">
        <w:rPr>
          <w:rFonts w:cs="Arial"/>
          <w:szCs w:val="24"/>
        </w:rPr>
        <w:t>z</w:t>
      </w:r>
      <w:r w:rsidRPr="00B92503">
        <w:rPr>
          <w:rFonts w:cs="Arial"/>
          <w:szCs w:val="24"/>
        </w:rPr>
        <w:t xml:space="preserve">ation policy in Luxembourg is associated with the so-called </w:t>
      </w:r>
      <w:proofErr w:type="spellStart"/>
      <w:r w:rsidRPr="00B92503">
        <w:rPr>
          <w:rFonts w:cs="Arial"/>
          <w:szCs w:val="24"/>
        </w:rPr>
        <w:t>Häfner</w:t>
      </w:r>
      <w:proofErr w:type="spellEnd"/>
      <w:r w:rsidRPr="00B92503">
        <w:rPr>
          <w:rFonts w:cs="Arial"/>
          <w:szCs w:val="24"/>
        </w:rPr>
        <w:t xml:space="preserve"> report (1993)</w:t>
      </w:r>
      <w:r w:rsidR="00593763" w:rsidRPr="00B92503">
        <w:rPr>
          <w:rStyle w:val="FootnoteReference"/>
          <w:rFonts w:cs="Arial"/>
          <w:sz w:val="24"/>
          <w:szCs w:val="24"/>
          <w:lang w:val="en-US"/>
        </w:rPr>
        <w:footnoteReference w:id="3"/>
      </w:r>
      <w:r w:rsidRPr="00B92503">
        <w:rPr>
          <w:rFonts w:cs="Arial"/>
          <w:szCs w:val="24"/>
          <w:lang w:val="en-US"/>
        </w:rPr>
        <w:t xml:space="preserve"> </w:t>
      </w:r>
      <w:r w:rsidRPr="00B92503">
        <w:rPr>
          <w:rFonts w:cs="Arial"/>
          <w:szCs w:val="24"/>
        </w:rPr>
        <w:t>about psychiatry in Luxembourg. Following his report</w:t>
      </w:r>
      <w:r w:rsidR="008A1FE2" w:rsidRPr="00B92503">
        <w:rPr>
          <w:rFonts w:cs="Arial"/>
          <w:szCs w:val="24"/>
        </w:rPr>
        <w:t>,</w:t>
      </w:r>
      <w:r w:rsidRPr="00B92503">
        <w:rPr>
          <w:rFonts w:cs="Arial"/>
          <w:szCs w:val="24"/>
        </w:rPr>
        <w:t xml:space="preserve"> the national central psychiatric hospital started a de-institutionali</w:t>
      </w:r>
      <w:r w:rsidR="008A1FE2" w:rsidRPr="00B92503">
        <w:rPr>
          <w:rFonts w:cs="Arial"/>
          <w:szCs w:val="24"/>
        </w:rPr>
        <w:t>z</w:t>
      </w:r>
      <w:r w:rsidRPr="00B92503">
        <w:rPr>
          <w:rFonts w:cs="Arial"/>
          <w:szCs w:val="24"/>
        </w:rPr>
        <w:t xml:space="preserve">ation process, which </w:t>
      </w:r>
      <w:proofErr w:type="gramStart"/>
      <w:r w:rsidRPr="00B92503">
        <w:rPr>
          <w:rFonts w:cs="Arial"/>
          <w:szCs w:val="24"/>
        </w:rPr>
        <w:t>still continues</w:t>
      </w:r>
      <w:proofErr w:type="gramEnd"/>
      <w:r w:rsidRPr="00B92503">
        <w:rPr>
          <w:rFonts w:cs="Arial"/>
          <w:szCs w:val="24"/>
        </w:rPr>
        <w:t xml:space="preserve"> to date particularly in the context of persons with intellectual disabilities.</w:t>
      </w:r>
      <w:r w:rsidR="00593763" w:rsidRPr="00B92503">
        <w:rPr>
          <w:rFonts w:cs="Arial"/>
          <w:szCs w:val="24"/>
        </w:rPr>
        <w:t xml:space="preserve"> In 2005 the </w:t>
      </w:r>
      <w:proofErr w:type="spellStart"/>
      <w:r w:rsidR="00593763" w:rsidRPr="00B92503">
        <w:rPr>
          <w:rFonts w:cs="Arial"/>
          <w:szCs w:val="24"/>
        </w:rPr>
        <w:t>R</w:t>
      </w:r>
      <w:r w:rsidR="00256B06" w:rsidRPr="00B92503">
        <w:rPr>
          <w:rFonts w:cs="Arial"/>
          <w:szCs w:val="24"/>
        </w:rPr>
        <w:t>össler</w:t>
      </w:r>
      <w:proofErr w:type="spellEnd"/>
      <w:r w:rsidR="00256B06" w:rsidRPr="00B92503">
        <w:rPr>
          <w:rFonts w:cs="Arial"/>
          <w:szCs w:val="24"/>
        </w:rPr>
        <w:t xml:space="preserve"> </w:t>
      </w:r>
      <w:r w:rsidR="00256B06" w:rsidRPr="00B92503">
        <w:rPr>
          <w:rFonts w:cs="Arial"/>
          <w:szCs w:val="24"/>
          <w:lang w:val="en-US"/>
        </w:rPr>
        <w:t>Report</w:t>
      </w:r>
      <w:r w:rsidR="00256B06" w:rsidRPr="00B92503">
        <w:rPr>
          <w:rStyle w:val="FootnoteReference"/>
          <w:rFonts w:cs="Arial"/>
          <w:sz w:val="24"/>
          <w:szCs w:val="24"/>
          <w:lang w:val="en-US"/>
        </w:rPr>
        <w:footnoteReference w:id="4"/>
      </w:r>
      <w:r w:rsidR="00256B06" w:rsidRPr="00B92503">
        <w:rPr>
          <w:rFonts w:cs="Arial"/>
          <w:szCs w:val="24"/>
          <w:lang w:val="en-US"/>
        </w:rPr>
        <w:t xml:space="preserve"> </w:t>
      </w:r>
      <w:r w:rsidR="002F16BE" w:rsidRPr="00B92503">
        <w:rPr>
          <w:rFonts w:cs="Arial"/>
          <w:szCs w:val="24"/>
        </w:rPr>
        <w:t>concludes that 0</w:t>
      </w:r>
      <w:r w:rsidR="00155052">
        <w:rPr>
          <w:rFonts w:cs="Arial"/>
          <w:szCs w:val="24"/>
        </w:rPr>
        <w:t>,</w:t>
      </w:r>
      <w:r w:rsidR="002F16BE" w:rsidRPr="00B92503">
        <w:rPr>
          <w:rFonts w:cs="Arial"/>
          <w:szCs w:val="24"/>
        </w:rPr>
        <w:t>25 places per 1</w:t>
      </w:r>
      <w:r w:rsidR="00B92503">
        <w:rPr>
          <w:rFonts w:cs="Arial"/>
          <w:szCs w:val="24"/>
        </w:rPr>
        <w:t>,</w:t>
      </w:r>
      <w:r w:rsidR="002F16BE" w:rsidRPr="00B92503">
        <w:rPr>
          <w:rFonts w:cs="Arial"/>
          <w:szCs w:val="24"/>
        </w:rPr>
        <w:t>000 inhabitants offered in Luxembourg do not comply with WHO guidelines, which assume a minimum of 0</w:t>
      </w:r>
      <w:r w:rsidR="00155052">
        <w:rPr>
          <w:rFonts w:cs="Arial"/>
          <w:szCs w:val="24"/>
        </w:rPr>
        <w:t>,</w:t>
      </w:r>
      <w:r w:rsidR="002F16BE" w:rsidRPr="00B92503">
        <w:rPr>
          <w:rFonts w:cs="Arial"/>
          <w:szCs w:val="24"/>
        </w:rPr>
        <w:t xml:space="preserve">3 </w:t>
      </w:r>
      <w:r w:rsidR="00155052">
        <w:rPr>
          <w:rFonts w:cs="Arial"/>
          <w:szCs w:val="24"/>
        </w:rPr>
        <w:t>–</w:t>
      </w:r>
      <w:r w:rsidR="002F16BE" w:rsidRPr="00B92503">
        <w:rPr>
          <w:rFonts w:cs="Arial"/>
          <w:szCs w:val="24"/>
        </w:rPr>
        <w:t xml:space="preserve"> 0</w:t>
      </w:r>
      <w:r w:rsidR="00155052">
        <w:rPr>
          <w:rFonts w:cs="Arial"/>
          <w:szCs w:val="24"/>
        </w:rPr>
        <w:t>,</w:t>
      </w:r>
      <w:r w:rsidR="002F16BE" w:rsidRPr="00B92503">
        <w:rPr>
          <w:rFonts w:cs="Arial"/>
          <w:szCs w:val="24"/>
        </w:rPr>
        <w:t>5 places per 1,000 inhabitants for long-term care of the chronically ill</w:t>
      </w:r>
      <w:r w:rsidR="002F16BE" w:rsidRPr="00B92503">
        <w:rPr>
          <w:rFonts w:cs="Arial"/>
          <w:spacing w:val="-1"/>
          <w:szCs w:val="24"/>
        </w:rPr>
        <w:t xml:space="preserve"> </w:t>
      </w:r>
      <w:r w:rsidR="002F16BE" w:rsidRPr="00B92503">
        <w:rPr>
          <w:rFonts w:cs="Arial"/>
          <w:szCs w:val="24"/>
          <w:lang w:val="en-US"/>
        </w:rPr>
        <w:t>alone</w:t>
      </w:r>
      <w:r w:rsidR="00D060BE" w:rsidRPr="00B92503">
        <w:rPr>
          <w:rFonts w:cs="Arial"/>
          <w:szCs w:val="24"/>
          <w:lang w:val="en-US"/>
        </w:rPr>
        <w:t>.</w:t>
      </w:r>
      <w:r w:rsidR="002F16BE" w:rsidRPr="00B92503">
        <w:rPr>
          <w:rStyle w:val="FootnoteReference"/>
          <w:rFonts w:cs="Arial"/>
          <w:sz w:val="24"/>
          <w:szCs w:val="24"/>
          <w:lang w:val="en-US"/>
        </w:rPr>
        <w:footnoteReference w:id="5"/>
      </w:r>
    </w:p>
    <w:p w:rsidR="00371B52" w:rsidRPr="00B92503" w:rsidRDefault="00371B52" w:rsidP="00B92503">
      <w:pPr>
        <w:rPr>
          <w:rFonts w:cs="Arial"/>
          <w:szCs w:val="24"/>
        </w:rPr>
      </w:pPr>
    </w:p>
    <w:p w:rsidR="00593763" w:rsidRPr="00B92503" w:rsidRDefault="00593763" w:rsidP="007E08F2">
      <w:r w:rsidRPr="00B92503">
        <w:t xml:space="preserve">Neither </w:t>
      </w:r>
      <w:proofErr w:type="spellStart"/>
      <w:r w:rsidRPr="00B92503">
        <w:t>Häfner</w:t>
      </w:r>
      <w:r w:rsidR="008A1FE2" w:rsidRPr="00B92503">
        <w:t>’s</w:t>
      </w:r>
      <w:proofErr w:type="spellEnd"/>
      <w:r w:rsidRPr="00B92503">
        <w:t xml:space="preserve"> nor </w:t>
      </w:r>
      <w:proofErr w:type="spellStart"/>
      <w:r w:rsidRPr="00B92503">
        <w:t>Rössler</w:t>
      </w:r>
      <w:r w:rsidR="008A1FE2" w:rsidRPr="00B92503">
        <w:t>’s</w:t>
      </w:r>
      <w:proofErr w:type="spellEnd"/>
      <w:r w:rsidRPr="00B92503">
        <w:t xml:space="preserve"> Report published precise data on </w:t>
      </w:r>
      <w:r w:rsidR="008C1F76" w:rsidRPr="00B92503">
        <w:t xml:space="preserve">independent living structures </w:t>
      </w:r>
      <w:r w:rsidR="00B86DAB" w:rsidRPr="00B92503">
        <w:t>for</w:t>
      </w:r>
      <w:r w:rsidR="008C1F76" w:rsidRPr="00B92503">
        <w:t xml:space="preserve"> persons with (</w:t>
      </w:r>
      <w:r w:rsidR="002D4B80" w:rsidRPr="00B92503">
        <w:t>mental</w:t>
      </w:r>
      <w:r w:rsidR="008C1F76" w:rsidRPr="00B92503">
        <w:t>) disabilities</w:t>
      </w:r>
      <w:r w:rsidRPr="00B92503">
        <w:t>.</w:t>
      </w:r>
      <w:r w:rsidR="008C1F76" w:rsidRPr="00B92503">
        <w:rPr>
          <w:rStyle w:val="FootnoteReference"/>
          <w:sz w:val="24"/>
          <w:lang w:val="en-US"/>
        </w:rPr>
        <w:footnoteReference w:id="6"/>
      </w:r>
    </w:p>
    <w:p w:rsidR="00371B52" w:rsidRPr="00B92503" w:rsidRDefault="00371B52" w:rsidP="00B92503">
      <w:pPr>
        <w:pStyle w:val="BodyText"/>
        <w:ind w:right="350"/>
      </w:pPr>
    </w:p>
    <w:p w:rsidR="00A21D27" w:rsidRPr="00B92503" w:rsidRDefault="002361BB" w:rsidP="007E08F2">
      <w:proofErr w:type="spellStart"/>
      <w:r w:rsidRPr="00B92503">
        <w:t>Warnier</w:t>
      </w:r>
      <w:proofErr w:type="spellEnd"/>
      <w:r w:rsidRPr="00B92503">
        <w:t xml:space="preserve"> and</w:t>
      </w:r>
      <w:r w:rsidR="00F93277" w:rsidRPr="00B92503">
        <w:t xml:space="preserve"> </w:t>
      </w:r>
      <w:r w:rsidRPr="00B92503">
        <w:t xml:space="preserve">De Keyser </w:t>
      </w:r>
      <w:r w:rsidR="009932B6" w:rsidRPr="00B92503">
        <w:t>(2007</w:t>
      </w:r>
      <w:r w:rsidR="00DE526B" w:rsidRPr="00B92503">
        <w:t>, 375</w:t>
      </w:r>
      <w:r w:rsidR="009932B6" w:rsidRPr="00B92503">
        <w:t>)</w:t>
      </w:r>
      <w:r w:rsidR="009932B6" w:rsidRPr="00B92503">
        <w:rPr>
          <w:rStyle w:val="FootnoteReference"/>
          <w:sz w:val="24"/>
        </w:rPr>
        <w:footnoteReference w:id="7"/>
      </w:r>
      <w:r w:rsidR="009932B6" w:rsidRPr="00B92503">
        <w:t xml:space="preserve"> </w:t>
      </w:r>
      <w:r w:rsidR="00DE526B" w:rsidRPr="00B92503">
        <w:t>already stated in their report on de</w:t>
      </w:r>
      <w:r w:rsidR="008A1FE2" w:rsidRPr="00B92503">
        <w:t>-</w:t>
      </w:r>
      <w:r w:rsidR="00DE526B" w:rsidRPr="00B92503">
        <w:t xml:space="preserve">institutionalisation and community living in Luxembourg that there is no national data </w:t>
      </w:r>
      <w:r w:rsidR="00DE526B" w:rsidRPr="00B92503">
        <w:lastRenderedPageBreak/>
        <w:t xml:space="preserve">on the number of people with disabilities in Luxembourg. </w:t>
      </w:r>
      <w:r w:rsidR="001209BA" w:rsidRPr="00B92503">
        <w:t>While there were 410</w:t>
      </w:r>
      <w:r w:rsidR="00061755" w:rsidRPr="00B92503">
        <w:t xml:space="preserve"> beds (</w:t>
      </w:r>
      <w:proofErr w:type="spellStart"/>
      <w:r w:rsidR="00061755" w:rsidRPr="00B92503">
        <w:rPr>
          <w:i/>
        </w:rPr>
        <w:t>lits</w:t>
      </w:r>
      <w:proofErr w:type="spellEnd"/>
      <w:r w:rsidR="00061755" w:rsidRPr="00B92503">
        <w:rPr>
          <w:i/>
        </w:rPr>
        <w:t xml:space="preserve">/places </w:t>
      </w:r>
      <w:proofErr w:type="spellStart"/>
      <w:r w:rsidR="00061755" w:rsidRPr="00B92503">
        <w:rPr>
          <w:i/>
        </w:rPr>
        <w:t>conventionnés</w:t>
      </w:r>
      <w:proofErr w:type="spellEnd"/>
      <w:r w:rsidR="00061755" w:rsidRPr="00B92503">
        <w:t>) i</w:t>
      </w:r>
      <w:r w:rsidR="001209BA" w:rsidRPr="00B92503">
        <w:t>n</w:t>
      </w:r>
      <w:r w:rsidR="001D0450" w:rsidRPr="00B92503">
        <w:t xml:space="preserve"> </w:t>
      </w:r>
      <w:r w:rsidR="001209BA" w:rsidRPr="00B92503">
        <w:t>1995</w:t>
      </w:r>
      <w:r w:rsidR="00B92503">
        <w:t>,</w:t>
      </w:r>
      <w:r w:rsidR="00061755" w:rsidRPr="00B92503">
        <w:rPr>
          <w:rStyle w:val="FootnoteReference"/>
          <w:sz w:val="24"/>
        </w:rPr>
        <w:footnoteReference w:id="8"/>
      </w:r>
      <w:r w:rsidR="00DE526B" w:rsidRPr="00B92503">
        <w:t xml:space="preserve"> </w:t>
      </w:r>
      <w:r w:rsidR="00061755" w:rsidRPr="00B92503">
        <w:t xml:space="preserve">Beadle-Brown and </w:t>
      </w:r>
      <w:proofErr w:type="spellStart"/>
      <w:r w:rsidR="00061755" w:rsidRPr="00B92503">
        <w:t>Kozma</w:t>
      </w:r>
      <w:proofErr w:type="spellEnd"/>
      <w:r w:rsidR="00DE526B" w:rsidRPr="00B92503">
        <w:t xml:space="preserve"> reported a total of 704 institutionalised places for people with disabilities in Luxembourg</w:t>
      </w:r>
      <w:r w:rsidR="00061755" w:rsidRPr="00B92503">
        <w:t xml:space="preserve"> in 2006</w:t>
      </w:r>
      <w:r w:rsidR="00DE526B" w:rsidRPr="00B92503">
        <w:t xml:space="preserve">. Of </w:t>
      </w:r>
      <w:r w:rsidR="00BA2D35" w:rsidRPr="00B92503">
        <w:t>those places</w:t>
      </w:r>
      <w:r w:rsidR="00DE526B" w:rsidRPr="00B92503">
        <w:t xml:space="preserve"> 410 </w:t>
      </w:r>
      <w:r w:rsidR="00BA2D35" w:rsidRPr="00B92503">
        <w:t xml:space="preserve">are </w:t>
      </w:r>
      <w:r w:rsidR="00DE526B" w:rsidRPr="00B92503">
        <w:t>in institutions with less than 30 inhabitants and 294 in institutions with more than 30 inhabitants</w:t>
      </w:r>
      <w:r w:rsidR="009932B6" w:rsidRPr="00B92503">
        <w:t>.</w:t>
      </w:r>
      <w:r w:rsidR="00DE526B" w:rsidRPr="00B92503">
        <w:t xml:space="preserve"> </w:t>
      </w:r>
      <w:r w:rsidR="00A21D27" w:rsidRPr="00B92503">
        <w:t>Furthermore, the authors break down the data according to the following aspects:</w:t>
      </w:r>
    </w:p>
    <w:p w:rsidR="00371B52" w:rsidRPr="00B92503" w:rsidRDefault="00371B52" w:rsidP="00B92503">
      <w:pPr>
        <w:pStyle w:val="BodyText"/>
        <w:ind w:left="221"/>
      </w:pPr>
    </w:p>
    <w:p w:rsidR="00A21D27" w:rsidRDefault="00A21D27" w:rsidP="00B92503">
      <w:pPr>
        <w:pStyle w:val="BodyText"/>
      </w:pPr>
      <w:r w:rsidRPr="00B92503">
        <w:rPr>
          <w:b/>
        </w:rPr>
        <w:t>Figure</w:t>
      </w:r>
      <w:r w:rsidR="00C02497" w:rsidRPr="00B92503">
        <w:rPr>
          <w:b/>
        </w:rPr>
        <w:t xml:space="preserve"> </w:t>
      </w:r>
      <w:r w:rsidRPr="00B92503">
        <w:rPr>
          <w:b/>
        </w:rPr>
        <w:t xml:space="preserve">1: </w:t>
      </w:r>
      <w:r w:rsidR="00BA2D35" w:rsidRPr="00B92503">
        <w:t>institutionalised places for people with disabilities in Luxembourg (2006)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567"/>
        <w:gridCol w:w="992"/>
        <w:gridCol w:w="1134"/>
        <w:gridCol w:w="1276"/>
        <w:gridCol w:w="992"/>
        <w:gridCol w:w="1984"/>
      </w:tblGrid>
      <w:tr w:rsidR="001D0450" w:rsidRPr="00B92503" w:rsidTr="005E4D6A">
        <w:tc>
          <w:tcPr>
            <w:tcW w:w="1122" w:type="dxa"/>
            <w:shd w:val="clear" w:color="auto" w:fill="auto"/>
          </w:tcPr>
          <w:p w:rsidR="00A21D27" w:rsidRPr="00B92503" w:rsidRDefault="00A21D27" w:rsidP="00B92503">
            <w:pPr>
              <w:pStyle w:val="TableParagraph"/>
              <w:jc w:val="left"/>
              <w:rPr>
                <w:rFonts w:eastAsia="Times New Roman"/>
                <w:sz w:val="24"/>
                <w:szCs w:val="24"/>
                <w:lang w:val="en-GB"/>
              </w:rPr>
            </w:pPr>
          </w:p>
        </w:tc>
        <w:tc>
          <w:tcPr>
            <w:tcW w:w="1567" w:type="dxa"/>
            <w:shd w:val="clear" w:color="auto" w:fill="auto"/>
          </w:tcPr>
          <w:p w:rsidR="00A21D27" w:rsidRPr="00B92503" w:rsidRDefault="00A21D27" w:rsidP="00155052">
            <w:pPr>
              <w:autoSpaceDE w:val="0"/>
              <w:autoSpaceDN w:val="0"/>
              <w:adjustRightInd w:val="0"/>
              <w:jc w:val="right"/>
              <w:rPr>
                <w:rFonts w:cs="Arial"/>
                <w:szCs w:val="24"/>
              </w:rPr>
            </w:pPr>
            <w:r w:rsidRPr="00B92503">
              <w:rPr>
                <w:rFonts w:cs="Arial"/>
                <w:szCs w:val="24"/>
              </w:rPr>
              <w:t>Places total</w:t>
            </w:r>
            <w:r w:rsidRPr="00B92503">
              <w:rPr>
                <w:rFonts w:eastAsia="Calibri" w:cs="Arial"/>
                <w:szCs w:val="24"/>
                <w:lang w:val="en-US"/>
              </w:rPr>
              <w:t xml:space="preserve"> </w:t>
            </w:r>
          </w:p>
        </w:tc>
        <w:tc>
          <w:tcPr>
            <w:tcW w:w="992" w:type="dxa"/>
            <w:shd w:val="clear" w:color="auto" w:fill="auto"/>
          </w:tcPr>
          <w:p w:rsidR="00A21D27" w:rsidRPr="00B92503" w:rsidRDefault="00A21D27" w:rsidP="00155052">
            <w:pPr>
              <w:autoSpaceDE w:val="0"/>
              <w:autoSpaceDN w:val="0"/>
              <w:adjustRightInd w:val="0"/>
              <w:jc w:val="right"/>
              <w:rPr>
                <w:rFonts w:cs="Arial"/>
                <w:szCs w:val="24"/>
              </w:rPr>
            </w:pPr>
            <w:r w:rsidRPr="00B92503">
              <w:rPr>
                <w:rFonts w:cs="Arial"/>
                <w:szCs w:val="24"/>
              </w:rPr>
              <w:t>Male</w:t>
            </w:r>
            <w:r w:rsidRPr="00B92503">
              <w:rPr>
                <w:rFonts w:eastAsia="Calibri" w:cs="Arial"/>
                <w:szCs w:val="24"/>
                <w:lang w:val="en-US"/>
              </w:rPr>
              <w:t xml:space="preserve"> </w:t>
            </w:r>
          </w:p>
        </w:tc>
        <w:tc>
          <w:tcPr>
            <w:tcW w:w="1134" w:type="dxa"/>
            <w:shd w:val="clear" w:color="auto" w:fill="auto"/>
          </w:tcPr>
          <w:p w:rsidR="00A21D27" w:rsidRPr="00B92503" w:rsidRDefault="00A21D27" w:rsidP="00155052">
            <w:pPr>
              <w:autoSpaceDE w:val="0"/>
              <w:autoSpaceDN w:val="0"/>
              <w:adjustRightInd w:val="0"/>
              <w:jc w:val="right"/>
              <w:rPr>
                <w:rFonts w:cs="Arial"/>
                <w:szCs w:val="24"/>
              </w:rPr>
            </w:pPr>
            <w:r w:rsidRPr="00B92503">
              <w:rPr>
                <w:rFonts w:cs="Arial"/>
                <w:szCs w:val="24"/>
              </w:rPr>
              <w:t>Female</w:t>
            </w:r>
            <w:r w:rsidRPr="00B92503">
              <w:rPr>
                <w:rFonts w:eastAsia="Calibri" w:cs="Arial"/>
                <w:szCs w:val="24"/>
                <w:lang w:val="en-US"/>
              </w:rPr>
              <w:t xml:space="preserve"> </w:t>
            </w:r>
          </w:p>
        </w:tc>
        <w:tc>
          <w:tcPr>
            <w:tcW w:w="1276" w:type="dxa"/>
            <w:shd w:val="clear" w:color="auto" w:fill="auto"/>
          </w:tcPr>
          <w:p w:rsidR="00A21D27" w:rsidRPr="00B92503" w:rsidRDefault="00A21D27" w:rsidP="00155052">
            <w:pPr>
              <w:autoSpaceDE w:val="0"/>
              <w:autoSpaceDN w:val="0"/>
              <w:adjustRightInd w:val="0"/>
              <w:jc w:val="right"/>
              <w:rPr>
                <w:rFonts w:cs="Arial"/>
                <w:szCs w:val="24"/>
              </w:rPr>
            </w:pPr>
            <w:r w:rsidRPr="00B92503">
              <w:rPr>
                <w:rFonts w:cs="Arial"/>
                <w:szCs w:val="24"/>
              </w:rPr>
              <w:t>Children</w:t>
            </w:r>
            <w:r w:rsidRPr="00B92503">
              <w:rPr>
                <w:rFonts w:eastAsia="Calibri" w:cs="Arial"/>
                <w:szCs w:val="24"/>
                <w:lang w:val="en-US"/>
              </w:rPr>
              <w:t xml:space="preserve"> </w:t>
            </w:r>
          </w:p>
        </w:tc>
        <w:tc>
          <w:tcPr>
            <w:tcW w:w="992" w:type="dxa"/>
            <w:shd w:val="clear" w:color="auto" w:fill="auto"/>
          </w:tcPr>
          <w:p w:rsidR="00A21D27" w:rsidRPr="00B92503" w:rsidRDefault="00A21D27" w:rsidP="00155052">
            <w:pPr>
              <w:autoSpaceDE w:val="0"/>
              <w:autoSpaceDN w:val="0"/>
              <w:adjustRightInd w:val="0"/>
              <w:jc w:val="right"/>
              <w:rPr>
                <w:rFonts w:cs="Arial"/>
                <w:szCs w:val="24"/>
              </w:rPr>
            </w:pPr>
            <w:r w:rsidRPr="00B92503">
              <w:rPr>
                <w:rFonts w:cs="Arial"/>
                <w:szCs w:val="24"/>
              </w:rPr>
              <w:t>Adults</w:t>
            </w:r>
            <w:r w:rsidRPr="00B92503">
              <w:rPr>
                <w:rFonts w:eastAsia="Calibri" w:cs="Arial"/>
                <w:szCs w:val="24"/>
                <w:lang w:val="en-US"/>
              </w:rPr>
              <w:t xml:space="preserve"> </w:t>
            </w:r>
          </w:p>
        </w:tc>
        <w:tc>
          <w:tcPr>
            <w:tcW w:w="1984" w:type="dxa"/>
            <w:shd w:val="clear" w:color="auto" w:fill="auto"/>
          </w:tcPr>
          <w:p w:rsidR="00A21D27" w:rsidRPr="00B92503" w:rsidRDefault="00A21D27" w:rsidP="00155052">
            <w:pPr>
              <w:autoSpaceDE w:val="0"/>
              <w:autoSpaceDN w:val="0"/>
              <w:adjustRightInd w:val="0"/>
              <w:jc w:val="right"/>
              <w:rPr>
                <w:rFonts w:cs="Arial"/>
                <w:szCs w:val="24"/>
              </w:rPr>
            </w:pPr>
            <w:r w:rsidRPr="00B92503">
              <w:rPr>
                <w:rFonts w:cs="Arial"/>
                <w:szCs w:val="24"/>
              </w:rPr>
              <w:t>Age unspecified</w:t>
            </w:r>
          </w:p>
        </w:tc>
      </w:tr>
      <w:tr w:rsidR="001D0450" w:rsidRPr="00B92503" w:rsidTr="005E4D6A">
        <w:tc>
          <w:tcPr>
            <w:tcW w:w="1122" w:type="dxa"/>
            <w:shd w:val="clear" w:color="auto" w:fill="auto"/>
          </w:tcPr>
          <w:p w:rsidR="00A21D27" w:rsidRPr="00B92503" w:rsidRDefault="00A21D27" w:rsidP="00B92503">
            <w:pPr>
              <w:autoSpaceDE w:val="0"/>
              <w:autoSpaceDN w:val="0"/>
              <w:adjustRightInd w:val="0"/>
              <w:rPr>
                <w:rFonts w:cs="Arial"/>
                <w:szCs w:val="24"/>
              </w:rPr>
            </w:pPr>
            <w:r w:rsidRPr="00B92503">
              <w:rPr>
                <w:rFonts w:cs="Arial"/>
                <w:szCs w:val="24"/>
              </w:rPr>
              <w:t>Number</w:t>
            </w:r>
          </w:p>
        </w:tc>
        <w:tc>
          <w:tcPr>
            <w:tcW w:w="1567" w:type="dxa"/>
            <w:shd w:val="clear" w:color="auto" w:fill="auto"/>
          </w:tcPr>
          <w:p w:rsidR="00A21D27" w:rsidRPr="00B92503" w:rsidRDefault="00A21D27" w:rsidP="00155052">
            <w:pPr>
              <w:autoSpaceDE w:val="0"/>
              <w:autoSpaceDN w:val="0"/>
              <w:adjustRightInd w:val="0"/>
              <w:jc w:val="right"/>
              <w:rPr>
                <w:rFonts w:cs="Arial"/>
                <w:szCs w:val="24"/>
              </w:rPr>
            </w:pPr>
            <w:r w:rsidRPr="00B92503">
              <w:rPr>
                <w:rFonts w:cs="Arial"/>
                <w:szCs w:val="24"/>
              </w:rPr>
              <w:t>704</w:t>
            </w:r>
          </w:p>
        </w:tc>
        <w:tc>
          <w:tcPr>
            <w:tcW w:w="992" w:type="dxa"/>
            <w:shd w:val="clear" w:color="auto" w:fill="auto"/>
          </w:tcPr>
          <w:p w:rsidR="00A21D27" w:rsidRPr="00B92503" w:rsidRDefault="00A21D27" w:rsidP="00155052">
            <w:pPr>
              <w:autoSpaceDE w:val="0"/>
              <w:autoSpaceDN w:val="0"/>
              <w:adjustRightInd w:val="0"/>
              <w:jc w:val="right"/>
              <w:rPr>
                <w:rFonts w:cs="Arial"/>
                <w:szCs w:val="24"/>
              </w:rPr>
            </w:pPr>
            <w:r w:rsidRPr="00B92503">
              <w:rPr>
                <w:rFonts w:cs="Arial"/>
                <w:szCs w:val="24"/>
              </w:rPr>
              <w:t>395</w:t>
            </w:r>
          </w:p>
        </w:tc>
        <w:tc>
          <w:tcPr>
            <w:tcW w:w="1134" w:type="dxa"/>
            <w:shd w:val="clear" w:color="auto" w:fill="auto"/>
          </w:tcPr>
          <w:p w:rsidR="00A21D27" w:rsidRPr="00B92503" w:rsidRDefault="00A21D27" w:rsidP="00155052">
            <w:pPr>
              <w:autoSpaceDE w:val="0"/>
              <w:autoSpaceDN w:val="0"/>
              <w:adjustRightInd w:val="0"/>
              <w:jc w:val="right"/>
              <w:rPr>
                <w:rFonts w:cs="Arial"/>
                <w:szCs w:val="24"/>
              </w:rPr>
            </w:pPr>
            <w:r w:rsidRPr="00B92503">
              <w:rPr>
                <w:rFonts w:cs="Arial"/>
                <w:szCs w:val="24"/>
              </w:rPr>
              <w:t>309</w:t>
            </w:r>
          </w:p>
        </w:tc>
        <w:tc>
          <w:tcPr>
            <w:tcW w:w="1276" w:type="dxa"/>
            <w:shd w:val="clear" w:color="auto" w:fill="auto"/>
          </w:tcPr>
          <w:p w:rsidR="00A21D27" w:rsidRPr="00B92503" w:rsidRDefault="00A21D27" w:rsidP="00155052">
            <w:pPr>
              <w:autoSpaceDE w:val="0"/>
              <w:autoSpaceDN w:val="0"/>
              <w:adjustRightInd w:val="0"/>
              <w:jc w:val="right"/>
              <w:rPr>
                <w:rFonts w:cs="Arial"/>
                <w:szCs w:val="24"/>
              </w:rPr>
            </w:pPr>
            <w:r w:rsidRPr="00B92503">
              <w:rPr>
                <w:rFonts w:cs="Arial"/>
                <w:szCs w:val="24"/>
              </w:rPr>
              <w:t>48</w:t>
            </w:r>
          </w:p>
        </w:tc>
        <w:tc>
          <w:tcPr>
            <w:tcW w:w="992" w:type="dxa"/>
            <w:shd w:val="clear" w:color="auto" w:fill="auto"/>
          </w:tcPr>
          <w:p w:rsidR="00A21D27" w:rsidRPr="00B92503" w:rsidRDefault="00A21D27" w:rsidP="00155052">
            <w:pPr>
              <w:autoSpaceDE w:val="0"/>
              <w:autoSpaceDN w:val="0"/>
              <w:adjustRightInd w:val="0"/>
              <w:jc w:val="right"/>
              <w:rPr>
                <w:rFonts w:cs="Arial"/>
                <w:szCs w:val="24"/>
              </w:rPr>
            </w:pPr>
            <w:r w:rsidRPr="00B92503">
              <w:rPr>
                <w:rFonts w:cs="Arial"/>
                <w:szCs w:val="24"/>
              </w:rPr>
              <w:t>655</w:t>
            </w:r>
          </w:p>
        </w:tc>
        <w:tc>
          <w:tcPr>
            <w:tcW w:w="1984" w:type="dxa"/>
            <w:shd w:val="clear" w:color="auto" w:fill="auto"/>
          </w:tcPr>
          <w:p w:rsidR="00A21D27" w:rsidRPr="00B92503" w:rsidRDefault="00A21D27" w:rsidP="00155052">
            <w:pPr>
              <w:autoSpaceDE w:val="0"/>
              <w:autoSpaceDN w:val="0"/>
              <w:adjustRightInd w:val="0"/>
              <w:jc w:val="right"/>
              <w:rPr>
                <w:rFonts w:cs="Arial"/>
                <w:szCs w:val="24"/>
              </w:rPr>
            </w:pPr>
            <w:r w:rsidRPr="00B92503">
              <w:rPr>
                <w:rFonts w:cs="Arial"/>
                <w:szCs w:val="24"/>
              </w:rPr>
              <w:t>1</w:t>
            </w:r>
          </w:p>
        </w:tc>
      </w:tr>
    </w:tbl>
    <w:p w:rsidR="00A21D27" w:rsidRPr="00B92503" w:rsidRDefault="00A21D27" w:rsidP="00B92503">
      <w:pPr>
        <w:rPr>
          <w:rFonts w:cs="Arial"/>
          <w:szCs w:val="24"/>
        </w:rPr>
      </w:pPr>
      <w:r w:rsidRPr="00B92503">
        <w:rPr>
          <w:rFonts w:cs="Arial"/>
          <w:szCs w:val="24"/>
        </w:rPr>
        <w:t xml:space="preserve">Source: </w:t>
      </w:r>
      <w:r w:rsidR="00516566" w:rsidRPr="00B92503">
        <w:rPr>
          <w:rFonts w:cs="Arial"/>
          <w:szCs w:val="24"/>
        </w:rPr>
        <w:t xml:space="preserve">Carole </w:t>
      </w:r>
      <w:proofErr w:type="spellStart"/>
      <w:r w:rsidR="00516566" w:rsidRPr="00B92503">
        <w:rPr>
          <w:rFonts w:cs="Arial"/>
          <w:szCs w:val="24"/>
        </w:rPr>
        <w:t>Warnier</w:t>
      </w:r>
      <w:proofErr w:type="spellEnd"/>
      <w:r w:rsidR="00516566" w:rsidRPr="00B92503">
        <w:rPr>
          <w:rFonts w:cs="Arial"/>
          <w:szCs w:val="24"/>
        </w:rPr>
        <w:t xml:space="preserve"> &amp; Hilde De Keyser (2007</w:t>
      </w:r>
      <w:r w:rsidRPr="00B92503">
        <w:rPr>
          <w:rFonts w:cs="Arial"/>
          <w:szCs w:val="24"/>
        </w:rPr>
        <w:t>, 364)</w:t>
      </w:r>
      <w:r w:rsidR="00516566" w:rsidRPr="00B92503">
        <w:rPr>
          <w:rStyle w:val="FootnoteReference"/>
          <w:rFonts w:cs="Arial"/>
          <w:sz w:val="24"/>
          <w:szCs w:val="24"/>
        </w:rPr>
        <w:footnoteReference w:id="9"/>
      </w:r>
      <w:r w:rsidRPr="00B92503">
        <w:rPr>
          <w:rFonts w:cs="Arial"/>
          <w:szCs w:val="24"/>
        </w:rPr>
        <w:t xml:space="preserve"> </w:t>
      </w:r>
    </w:p>
    <w:p w:rsidR="00371B52" w:rsidRPr="00B92503" w:rsidRDefault="00371B52" w:rsidP="00B92503">
      <w:pPr>
        <w:rPr>
          <w:rFonts w:cs="Arial"/>
          <w:szCs w:val="24"/>
        </w:rPr>
      </w:pPr>
    </w:p>
    <w:p w:rsidR="00482903" w:rsidRPr="00B92503" w:rsidRDefault="00482903" w:rsidP="00B92503">
      <w:pPr>
        <w:pStyle w:val="BodyText"/>
      </w:pPr>
      <w:r w:rsidRPr="00B92503">
        <w:t xml:space="preserve">In addition to this data, the </w:t>
      </w:r>
      <w:r w:rsidR="00ED38C4" w:rsidRPr="00B92503">
        <w:t>Report on Fundamental Rights (</w:t>
      </w:r>
      <w:r w:rsidRPr="00B92503">
        <w:t>FRA</w:t>
      </w:r>
      <w:r w:rsidR="00B80B9C" w:rsidRPr="00B92503">
        <w:t>-</w:t>
      </w:r>
      <w:r w:rsidRPr="00B92503">
        <w:t>Report</w:t>
      </w:r>
      <w:r w:rsidR="00ED38C4" w:rsidRPr="00B92503">
        <w:t>)</w:t>
      </w:r>
      <w:r w:rsidRPr="00B92503">
        <w:t xml:space="preserve"> </w:t>
      </w:r>
      <w:r w:rsidR="00B80B9C" w:rsidRPr="00B92503">
        <w:t xml:space="preserve">on independent living </w:t>
      </w:r>
      <w:r w:rsidR="00BA2D35" w:rsidRPr="00B92503">
        <w:t xml:space="preserve">in </w:t>
      </w:r>
      <w:r w:rsidRPr="00B92503">
        <w:t>2017</w:t>
      </w:r>
      <w:r w:rsidRPr="00B92503">
        <w:rPr>
          <w:rStyle w:val="FootnoteReference"/>
          <w:sz w:val="24"/>
        </w:rPr>
        <w:footnoteReference w:id="10"/>
      </w:r>
      <w:r w:rsidRPr="00B92503">
        <w:t xml:space="preserve"> indicates that in Luxembourg, the number of persons living in residential institutions rose from 701 in 2010 to 785 in 2016.</w:t>
      </w:r>
      <w:r w:rsidR="000579F9" w:rsidRPr="00B92503">
        <w:t xml:space="preserve"> </w:t>
      </w:r>
      <w:r w:rsidR="00ED38C4" w:rsidRPr="00B92503">
        <w:t xml:space="preserve">In this Report it was pointed out that </w:t>
      </w:r>
      <w:r w:rsidR="000579F9" w:rsidRPr="00B92503">
        <w:t>in Luxembourg in contrast to the great majority of all other European countries the percentage of persons with disabilities who agree or strongly agree with the statement:</w:t>
      </w:r>
      <w:r w:rsidR="00920BA0" w:rsidRPr="00B92503">
        <w:t xml:space="preserve"> </w:t>
      </w:r>
      <w:r w:rsidR="000579F9" w:rsidRPr="00B92503">
        <w:t>‘</w:t>
      </w:r>
      <w:r w:rsidR="000579F9" w:rsidRPr="00B92503">
        <w:rPr>
          <w:i/>
        </w:rPr>
        <w:t>I feel I am free to decide how to live my life</w:t>
      </w:r>
      <w:r w:rsidR="000579F9" w:rsidRPr="00B92503">
        <w:t xml:space="preserve">’ </w:t>
      </w:r>
      <w:r w:rsidR="00977EA1" w:rsidRPr="00B92503">
        <w:t>(84</w:t>
      </w:r>
      <w:r w:rsidR="00B92503">
        <w:t xml:space="preserve"> </w:t>
      </w:r>
      <w:r w:rsidR="00977EA1" w:rsidRPr="00B92503">
        <w:t xml:space="preserve">%) </w:t>
      </w:r>
      <w:r w:rsidR="000579F9" w:rsidRPr="00B92503">
        <w:t>is higher than th</w:t>
      </w:r>
      <w:r w:rsidR="00977EA1" w:rsidRPr="00B92503">
        <w:t>at of</w:t>
      </w:r>
      <w:r w:rsidR="000579F9" w:rsidRPr="00B92503">
        <w:t xml:space="preserve"> persons without disabilities (82</w:t>
      </w:r>
      <w:r w:rsidR="00B92503">
        <w:t xml:space="preserve"> </w:t>
      </w:r>
      <w:r w:rsidR="000579F9" w:rsidRPr="00B92503">
        <w:t xml:space="preserve">%). The high approval rate may well be </w:t>
      </w:r>
      <w:proofErr w:type="gramStart"/>
      <w:r w:rsidR="000579F9" w:rsidRPr="00B92503">
        <w:t>due to the fact that</w:t>
      </w:r>
      <w:proofErr w:type="gramEnd"/>
      <w:r w:rsidR="000579F9" w:rsidRPr="00B92503">
        <w:t xml:space="preserve">, </w:t>
      </w:r>
      <w:r w:rsidR="00977EA1" w:rsidRPr="00B92503">
        <w:t>(</w:t>
      </w:r>
      <w:r w:rsidR="000579F9" w:rsidRPr="00B92503">
        <w:t>as a result of the data generation</w:t>
      </w:r>
      <w:r w:rsidR="009E55DC">
        <w:t>),</w:t>
      </w:r>
      <w:r w:rsidR="000579F9" w:rsidRPr="00B92503">
        <w:rPr>
          <w:rStyle w:val="FootnoteReference"/>
          <w:sz w:val="24"/>
        </w:rPr>
        <w:footnoteReference w:id="11"/>
      </w:r>
      <w:r w:rsidR="000579F9" w:rsidRPr="00B92503">
        <w:t xml:space="preserve"> only persons living in a household were included in the sample, which means that no statement can be made about persons living in institutions.</w:t>
      </w:r>
    </w:p>
    <w:p w:rsidR="00371B52" w:rsidRPr="00B92503" w:rsidRDefault="00371B52" w:rsidP="00B92503">
      <w:pPr>
        <w:rPr>
          <w:rFonts w:cs="Arial"/>
          <w:szCs w:val="24"/>
        </w:rPr>
      </w:pPr>
    </w:p>
    <w:p w:rsidR="00A21D27" w:rsidRPr="00B92503" w:rsidRDefault="002C7334" w:rsidP="00B92503">
      <w:pPr>
        <w:pStyle w:val="BodyText"/>
      </w:pPr>
      <w:r w:rsidRPr="00B92503">
        <w:t xml:space="preserve">The </w:t>
      </w:r>
      <w:r w:rsidR="001B0B12" w:rsidRPr="00B92503">
        <w:t xml:space="preserve">national </w:t>
      </w:r>
      <w:r w:rsidRPr="00B92503">
        <w:t xml:space="preserve">ANED report </w:t>
      </w:r>
      <w:r w:rsidR="00977EA1" w:rsidRPr="00B92503">
        <w:t xml:space="preserve">in </w:t>
      </w:r>
      <w:r w:rsidRPr="00B92503">
        <w:t>2009</w:t>
      </w:r>
      <w:r w:rsidRPr="00B92503">
        <w:rPr>
          <w:vertAlign w:val="superscript"/>
        </w:rPr>
        <w:footnoteReference w:id="12"/>
      </w:r>
      <w:r w:rsidRPr="00B92503">
        <w:t xml:space="preserve"> </w:t>
      </w:r>
      <w:r w:rsidR="00977EA1" w:rsidRPr="00B92503">
        <w:t>deplores</w:t>
      </w:r>
      <w:r w:rsidRPr="00B92503">
        <w:t xml:space="preserve"> the absence of clear statements in favour of independent living for disabled persons in legal documents </w:t>
      </w:r>
      <w:r w:rsidR="00977EA1" w:rsidRPr="00B92503">
        <w:t xml:space="preserve">in Luxembourg </w:t>
      </w:r>
      <w:r w:rsidRPr="00B92503">
        <w:t xml:space="preserve">and states that there is not much pressure from self-advocate groups or users’ </w:t>
      </w:r>
      <w:r w:rsidR="00E1309A" w:rsidRPr="00B92503">
        <w:t>organisations</w:t>
      </w:r>
      <w:r w:rsidRPr="00B92503">
        <w:t xml:space="preserve"> to implement </w:t>
      </w:r>
      <w:r w:rsidR="00977EA1" w:rsidRPr="00B92503">
        <w:t>independent living</w:t>
      </w:r>
      <w:r w:rsidRPr="00B92503">
        <w:t xml:space="preserve">, neither are there centres for independent living. However, the general tendency already noted in this report was that in Luxembourg there has been a constant movement away from big segregated institutions to smaller residential homes during the last 35 years. The </w:t>
      </w:r>
      <w:r w:rsidR="00977EA1" w:rsidRPr="00B92503">
        <w:t xml:space="preserve">above mentioned </w:t>
      </w:r>
      <w:r w:rsidR="00977EA1" w:rsidRPr="00B92503">
        <w:lastRenderedPageBreak/>
        <w:t xml:space="preserve">ANED </w:t>
      </w:r>
      <w:r w:rsidRPr="00B92503">
        <w:t xml:space="preserve">report </w:t>
      </w:r>
      <w:r w:rsidR="00977EA1" w:rsidRPr="00B92503">
        <w:t xml:space="preserve">(2009) </w:t>
      </w:r>
      <w:r w:rsidRPr="00B92503">
        <w:t>highlights three development</w:t>
      </w:r>
      <w:r w:rsidR="00920BA0" w:rsidRPr="00B92503">
        <w:t>al</w:t>
      </w:r>
      <w:r w:rsidRPr="00B92503">
        <w:t xml:space="preserve"> steps in the implementation of Independent living: </w:t>
      </w:r>
    </w:p>
    <w:p w:rsidR="00371B52" w:rsidRPr="00B92503" w:rsidRDefault="00371B52" w:rsidP="00B92503">
      <w:pPr>
        <w:pStyle w:val="BodyText"/>
      </w:pPr>
    </w:p>
    <w:p w:rsidR="00A21D27" w:rsidRPr="00B92503" w:rsidRDefault="002C7334" w:rsidP="00553120">
      <w:pPr>
        <w:pStyle w:val="ListParagraph"/>
        <w:numPr>
          <w:ilvl w:val="0"/>
          <w:numId w:val="24"/>
        </w:numPr>
        <w:ind w:left="567" w:hanging="567"/>
      </w:pPr>
      <w:r w:rsidRPr="00B92503">
        <w:t xml:space="preserve">In the beginning there have been efforts to close the huge psychiatric and religious institutions for persons with a disability. </w:t>
      </w:r>
    </w:p>
    <w:p w:rsidR="00A21D27" w:rsidRPr="00B92503" w:rsidRDefault="00977EA1" w:rsidP="00553120">
      <w:pPr>
        <w:pStyle w:val="ListParagraph"/>
        <w:numPr>
          <w:ilvl w:val="0"/>
          <w:numId w:val="24"/>
        </w:numPr>
        <w:ind w:left="567" w:hanging="567"/>
      </w:pPr>
      <w:r w:rsidRPr="00B92503">
        <w:t>S</w:t>
      </w:r>
      <w:r w:rsidR="002C7334" w:rsidRPr="00B92503">
        <w:t>ubsequently, small residential ‘family like’ groups were created, permitting a more participative way of living.</w:t>
      </w:r>
    </w:p>
    <w:p w:rsidR="00541BD0" w:rsidRPr="00B92503" w:rsidRDefault="002C7334" w:rsidP="00553120">
      <w:pPr>
        <w:pStyle w:val="ListParagraph"/>
        <w:numPr>
          <w:ilvl w:val="0"/>
          <w:numId w:val="24"/>
        </w:numPr>
        <w:ind w:left="567" w:hanging="567"/>
      </w:pPr>
      <w:r w:rsidRPr="00B92503">
        <w:t xml:space="preserve">Finally, efforts were made to give people more opportunities to have private housing (to rent or buy their own housing / apartment), </w:t>
      </w:r>
      <w:r w:rsidR="00A21D27" w:rsidRPr="00B92503">
        <w:t>i</w:t>
      </w:r>
      <w:r w:rsidRPr="00B92503">
        <w:t>ncluding specialised support services.</w:t>
      </w:r>
    </w:p>
    <w:p w:rsidR="00B92503" w:rsidRDefault="00B92503" w:rsidP="00B92503">
      <w:pPr>
        <w:rPr>
          <w:rFonts w:cs="Arial"/>
          <w:szCs w:val="24"/>
        </w:rPr>
      </w:pPr>
    </w:p>
    <w:p w:rsidR="00541BD0" w:rsidRPr="00B92503" w:rsidRDefault="00541BD0" w:rsidP="00B92503">
      <w:pPr>
        <w:rPr>
          <w:rFonts w:cs="Arial"/>
          <w:szCs w:val="24"/>
          <w:lang w:val="en-US"/>
        </w:rPr>
      </w:pPr>
      <w:r w:rsidRPr="00B92503">
        <w:rPr>
          <w:rFonts w:cs="Arial"/>
          <w:szCs w:val="24"/>
        </w:rPr>
        <w:t>The national long-term care insurance</w:t>
      </w:r>
      <w:r w:rsidRPr="00B92503">
        <w:rPr>
          <w:rStyle w:val="FootnoteReference"/>
          <w:rFonts w:cs="Arial"/>
          <w:sz w:val="24"/>
          <w:szCs w:val="24"/>
        </w:rPr>
        <w:footnoteReference w:id="13"/>
      </w:r>
      <w:r w:rsidRPr="00B92503">
        <w:rPr>
          <w:rFonts w:cs="Arial"/>
          <w:szCs w:val="24"/>
        </w:rPr>
        <w:t xml:space="preserve"> provides domestic assistance in day-to-day activities. The national act about employment for persons with disabilities</w:t>
      </w:r>
      <w:r w:rsidRPr="00B92503">
        <w:rPr>
          <w:rStyle w:val="FootnoteReference"/>
          <w:rFonts w:cs="Arial"/>
          <w:sz w:val="24"/>
          <w:szCs w:val="24"/>
        </w:rPr>
        <w:footnoteReference w:id="14"/>
      </w:r>
      <w:r w:rsidRPr="00B92503">
        <w:rPr>
          <w:rFonts w:cs="Arial"/>
          <w:szCs w:val="24"/>
        </w:rPr>
        <w:t xml:space="preserve"> </w:t>
      </w:r>
      <w:r w:rsidRPr="00B92503">
        <w:rPr>
          <w:rFonts w:cs="Arial"/>
          <w:szCs w:val="24"/>
          <w:lang w:val="en-US"/>
        </w:rPr>
        <w:t xml:space="preserve">improved the financial basis for independent living of people with disabilities. </w:t>
      </w:r>
    </w:p>
    <w:p w:rsidR="00F80D06" w:rsidRPr="00B92503" w:rsidRDefault="00F80D06" w:rsidP="00B92503">
      <w:pPr>
        <w:rPr>
          <w:rFonts w:cs="Arial"/>
          <w:szCs w:val="24"/>
          <w:lang w:val="en-US"/>
        </w:rPr>
      </w:pPr>
    </w:p>
    <w:p w:rsidR="001B0B12" w:rsidRPr="00B92503" w:rsidRDefault="001B0B12" w:rsidP="00B92503">
      <w:pPr>
        <w:rPr>
          <w:rFonts w:cs="Arial"/>
          <w:szCs w:val="24"/>
        </w:rPr>
      </w:pPr>
      <w:r w:rsidRPr="00B92503">
        <w:rPr>
          <w:rFonts w:cs="Arial"/>
          <w:szCs w:val="24"/>
        </w:rPr>
        <w:t>The ANED Synthesis Report in 2009, amended in 2010</w:t>
      </w:r>
      <w:r w:rsidRPr="00B92503">
        <w:rPr>
          <w:rStyle w:val="FootnoteReference"/>
          <w:rFonts w:cs="Arial"/>
          <w:sz w:val="24"/>
          <w:szCs w:val="24"/>
        </w:rPr>
        <w:footnoteReference w:id="15"/>
      </w:r>
      <w:r w:rsidRPr="00B92503">
        <w:rPr>
          <w:rFonts w:cs="Arial"/>
          <w:szCs w:val="24"/>
        </w:rPr>
        <w:t xml:space="preserve"> states that only a few summary statements could be made on Luxembourg because the national final report was not available in time.</w:t>
      </w:r>
    </w:p>
    <w:p w:rsidR="00F80D06" w:rsidRPr="00B92503" w:rsidRDefault="00F80D06" w:rsidP="00B92503">
      <w:pPr>
        <w:rPr>
          <w:rFonts w:cs="Arial"/>
          <w:szCs w:val="24"/>
          <w:lang w:val="en-US"/>
        </w:rPr>
      </w:pPr>
    </w:p>
    <w:p w:rsidR="006E4BA3" w:rsidRPr="00B92503" w:rsidRDefault="006E4BA3" w:rsidP="00B92503">
      <w:pPr>
        <w:rPr>
          <w:rFonts w:cs="Arial"/>
          <w:szCs w:val="24"/>
          <w:lang w:val="en-US"/>
        </w:rPr>
      </w:pPr>
      <w:r w:rsidRPr="00B92503">
        <w:rPr>
          <w:rFonts w:cs="Arial"/>
          <w:szCs w:val="24"/>
          <w:lang w:val="en-US"/>
        </w:rPr>
        <w:t xml:space="preserve">The first National Action Plan </w:t>
      </w:r>
      <w:r w:rsidR="00977EA1" w:rsidRPr="00B92503">
        <w:rPr>
          <w:rFonts w:cs="Arial"/>
          <w:szCs w:val="24"/>
          <w:lang w:val="en-US"/>
        </w:rPr>
        <w:t>(</w:t>
      </w:r>
      <w:r w:rsidRPr="00B92503">
        <w:rPr>
          <w:rFonts w:cs="Arial"/>
          <w:szCs w:val="24"/>
          <w:lang w:val="en-US"/>
        </w:rPr>
        <w:t>201</w:t>
      </w:r>
      <w:r w:rsidR="006813C6" w:rsidRPr="00B92503">
        <w:rPr>
          <w:rFonts w:cs="Arial"/>
          <w:szCs w:val="24"/>
          <w:lang w:val="en-US"/>
        </w:rPr>
        <w:t>2</w:t>
      </w:r>
      <w:r w:rsidR="00977EA1" w:rsidRPr="00B92503">
        <w:rPr>
          <w:rFonts w:cs="Arial"/>
          <w:szCs w:val="24"/>
          <w:lang w:val="en-US"/>
        </w:rPr>
        <w:t>)</w:t>
      </w:r>
      <w:r w:rsidR="003F22E9" w:rsidRPr="00B92503">
        <w:rPr>
          <w:rStyle w:val="FootnoteReference"/>
          <w:rFonts w:cs="Arial"/>
          <w:sz w:val="24"/>
          <w:szCs w:val="24"/>
          <w:lang w:val="en-US"/>
        </w:rPr>
        <w:footnoteReference w:id="16"/>
      </w:r>
      <w:r w:rsidRPr="00B92503">
        <w:rPr>
          <w:rFonts w:cs="Arial"/>
          <w:szCs w:val="24"/>
          <w:lang w:val="en-US"/>
        </w:rPr>
        <w:t xml:space="preserve"> sets out the challenge of enabling people with disabilities in Luxembourg to decide</w:t>
      </w:r>
      <w:r w:rsidR="002D4B80" w:rsidRPr="00B92503">
        <w:rPr>
          <w:rFonts w:cs="Arial"/>
          <w:szCs w:val="24"/>
          <w:lang w:val="en-US"/>
        </w:rPr>
        <w:t>:</w:t>
      </w:r>
      <w:r w:rsidRPr="00B92503">
        <w:rPr>
          <w:rFonts w:cs="Arial"/>
          <w:szCs w:val="24"/>
          <w:lang w:val="en-US"/>
        </w:rPr>
        <w:t xml:space="preserve"> how, where and with whom they want to live, </w:t>
      </w:r>
      <w:r w:rsidR="002D4B80" w:rsidRPr="00B92503">
        <w:rPr>
          <w:rFonts w:cs="Arial"/>
          <w:szCs w:val="24"/>
          <w:lang w:val="en-US"/>
        </w:rPr>
        <w:t xml:space="preserve">and this </w:t>
      </w:r>
      <w:r w:rsidRPr="00B92503">
        <w:rPr>
          <w:rFonts w:cs="Arial"/>
          <w:szCs w:val="24"/>
          <w:lang w:val="en-US"/>
        </w:rPr>
        <w:t>with the greatest possible autonomy, self-determination and responsibility</w:t>
      </w:r>
      <w:r w:rsidR="002D4B80" w:rsidRPr="00B92503">
        <w:rPr>
          <w:rFonts w:cs="Arial"/>
          <w:szCs w:val="24"/>
          <w:lang w:val="en-US"/>
        </w:rPr>
        <w:t xml:space="preserve"> in</w:t>
      </w:r>
      <w:r w:rsidRPr="00B92503">
        <w:rPr>
          <w:rFonts w:cs="Arial"/>
          <w:szCs w:val="24"/>
          <w:lang w:val="en-US"/>
        </w:rPr>
        <w:t xml:space="preserve"> develo</w:t>
      </w:r>
      <w:r w:rsidR="002D4B80" w:rsidRPr="00B92503">
        <w:rPr>
          <w:rFonts w:cs="Arial"/>
          <w:szCs w:val="24"/>
          <w:lang w:val="en-US"/>
        </w:rPr>
        <w:t>ping</w:t>
      </w:r>
      <w:r w:rsidRPr="00B92503">
        <w:rPr>
          <w:rFonts w:cs="Arial"/>
          <w:szCs w:val="24"/>
          <w:lang w:val="en-US"/>
        </w:rPr>
        <w:t xml:space="preserve"> alternative housing options. Therefore, adequate offers of support and care in various forms in smaller housing units are called for.</w:t>
      </w:r>
    </w:p>
    <w:p w:rsidR="00F80D06" w:rsidRPr="00B92503" w:rsidRDefault="00F80D06" w:rsidP="00B92503">
      <w:pPr>
        <w:rPr>
          <w:rFonts w:cs="Arial"/>
          <w:szCs w:val="24"/>
          <w:lang w:val="en-US"/>
        </w:rPr>
      </w:pPr>
    </w:p>
    <w:p w:rsidR="002C7334" w:rsidRPr="00B92503" w:rsidRDefault="002C7334" w:rsidP="00B92503">
      <w:pPr>
        <w:rPr>
          <w:rFonts w:cs="Arial"/>
          <w:szCs w:val="24"/>
          <w:lang w:val="en-US"/>
        </w:rPr>
      </w:pPr>
      <w:r w:rsidRPr="00B92503">
        <w:rPr>
          <w:rFonts w:cs="Arial"/>
          <w:szCs w:val="24"/>
          <w:lang w:val="en-US"/>
        </w:rPr>
        <w:t>As indicated in the FRA report (2012)</w:t>
      </w:r>
      <w:r w:rsidR="00B92503">
        <w:rPr>
          <w:rFonts w:cs="Arial"/>
          <w:szCs w:val="24"/>
          <w:lang w:val="en-US"/>
        </w:rPr>
        <w:t>,</w:t>
      </w:r>
      <w:r w:rsidRPr="00B92503">
        <w:rPr>
          <w:rStyle w:val="FootnoteReference"/>
          <w:rFonts w:cs="Arial"/>
          <w:sz w:val="24"/>
          <w:szCs w:val="24"/>
          <w:lang w:val="en-US"/>
        </w:rPr>
        <w:footnoteReference w:id="17"/>
      </w:r>
      <w:r w:rsidRPr="00B92503">
        <w:rPr>
          <w:rFonts w:cs="Arial"/>
          <w:szCs w:val="24"/>
          <w:lang w:val="en-US"/>
        </w:rPr>
        <w:t xml:space="preserve"> steady progress towards independent living can be observed, especially for people with cognitive impairments, but major challenges remain. </w:t>
      </w:r>
      <w:proofErr w:type="gramStart"/>
      <w:r w:rsidRPr="00B92503">
        <w:rPr>
          <w:rFonts w:cs="Arial"/>
          <w:szCs w:val="24"/>
          <w:lang w:val="en-US"/>
        </w:rPr>
        <w:t>In particular, no</w:t>
      </w:r>
      <w:proofErr w:type="gramEnd"/>
      <w:r w:rsidRPr="00B92503">
        <w:rPr>
          <w:rFonts w:cs="Arial"/>
          <w:szCs w:val="24"/>
          <w:lang w:val="en-US"/>
        </w:rPr>
        <w:t xml:space="preserve"> </w:t>
      </w:r>
      <w:r w:rsidR="002D4B80" w:rsidRPr="00B92503">
        <w:rPr>
          <w:rFonts w:cs="Arial"/>
          <w:szCs w:val="24"/>
          <w:lang w:val="en-US"/>
        </w:rPr>
        <w:t xml:space="preserve">general </w:t>
      </w:r>
      <w:r w:rsidRPr="00B92503">
        <w:rPr>
          <w:rFonts w:cs="Arial"/>
          <w:szCs w:val="24"/>
          <w:lang w:val="en-US"/>
        </w:rPr>
        <w:t>personal care budget system has yet been established in Luxembourg</w:t>
      </w:r>
      <w:r w:rsidR="002D4B80" w:rsidRPr="00B92503">
        <w:rPr>
          <w:rStyle w:val="FootnoteReference"/>
          <w:rFonts w:cs="Arial"/>
          <w:sz w:val="24"/>
          <w:szCs w:val="24"/>
          <w:lang w:val="en-US"/>
        </w:rPr>
        <w:footnoteReference w:id="18"/>
      </w:r>
      <w:r w:rsidRPr="00B92503">
        <w:rPr>
          <w:rFonts w:cs="Arial"/>
          <w:szCs w:val="24"/>
          <w:lang w:val="en-US"/>
        </w:rPr>
        <w:t xml:space="preserve"> and the high cost of rents and real estate makes it difficult to implement an independent living system.</w:t>
      </w:r>
    </w:p>
    <w:p w:rsidR="00F80D06" w:rsidRPr="00B92503" w:rsidRDefault="00F80D06" w:rsidP="00B92503">
      <w:pPr>
        <w:rPr>
          <w:rFonts w:cs="Arial"/>
          <w:szCs w:val="24"/>
          <w:lang w:val="en-US"/>
        </w:rPr>
      </w:pPr>
    </w:p>
    <w:p w:rsidR="00541BD0" w:rsidRDefault="00A54A4B" w:rsidP="00B92503">
      <w:pPr>
        <w:rPr>
          <w:rFonts w:cs="Arial"/>
          <w:szCs w:val="24"/>
        </w:rPr>
      </w:pPr>
      <w:r w:rsidRPr="00B92503">
        <w:rPr>
          <w:rFonts w:cs="Arial"/>
          <w:szCs w:val="24"/>
          <w:lang w:val="en-US"/>
        </w:rPr>
        <w:lastRenderedPageBreak/>
        <w:t xml:space="preserve">The initial report of Luxembourg </w:t>
      </w:r>
      <w:r w:rsidR="00977EA1" w:rsidRPr="00B92503">
        <w:rPr>
          <w:rFonts w:cs="Arial"/>
          <w:szCs w:val="24"/>
          <w:lang w:val="en-US"/>
        </w:rPr>
        <w:t xml:space="preserve">on implementing the </w:t>
      </w:r>
      <w:r w:rsidRPr="00B92503">
        <w:rPr>
          <w:rFonts w:cs="Arial"/>
          <w:szCs w:val="24"/>
          <w:lang w:val="en-US"/>
        </w:rPr>
        <w:t>CRPD</w:t>
      </w:r>
      <w:r w:rsidRPr="00B92503">
        <w:rPr>
          <w:rStyle w:val="FootnoteReference"/>
          <w:rFonts w:cs="Arial"/>
          <w:sz w:val="24"/>
          <w:szCs w:val="24"/>
          <w:lang w:val="en-US"/>
        </w:rPr>
        <w:footnoteReference w:id="19"/>
      </w:r>
      <w:r w:rsidRPr="00B92503">
        <w:rPr>
          <w:rFonts w:cs="Arial"/>
          <w:szCs w:val="24"/>
          <w:lang w:val="en-US"/>
        </w:rPr>
        <w:t xml:space="preserve"> </w:t>
      </w:r>
      <w:r w:rsidR="00B201AD" w:rsidRPr="00B92503">
        <w:rPr>
          <w:rFonts w:cs="Arial"/>
          <w:szCs w:val="24"/>
          <w:lang w:val="en-US"/>
        </w:rPr>
        <w:t>in 201</w:t>
      </w:r>
      <w:r w:rsidR="00843D27" w:rsidRPr="00B92503">
        <w:rPr>
          <w:rFonts w:cs="Arial"/>
          <w:szCs w:val="24"/>
          <w:lang w:val="en-US"/>
        </w:rPr>
        <w:t>4</w:t>
      </w:r>
      <w:r w:rsidR="00B201AD" w:rsidRPr="00B92503">
        <w:rPr>
          <w:rFonts w:cs="Arial"/>
          <w:szCs w:val="24"/>
          <w:lang w:val="en-US"/>
        </w:rPr>
        <w:t xml:space="preserve"> </w:t>
      </w:r>
      <w:r w:rsidRPr="00B92503">
        <w:rPr>
          <w:rFonts w:cs="Arial"/>
          <w:szCs w:val="24"/>
          <w:lang w:val="en-US"/>
        </w:rPr>
        <w:t xml:space="preserve">emphasizes the </w:t>
      </w:r>
      <w:r w:rsidRPr="00B92503">
        <w:rPr>
          <w:rFonts w:cs="Arial"/>
          <w:szCs w:val="24"/>
        </w:rPr>
        <w:t xml:space="preserve">big shift towards decentralizing psychiatric care, that has taken place in Luxembourg since 1994. From 1994 onwards, persons with disabilities living in psychiatric hospitals have been transferred either to special institutions for persons with disabilities or, where possible, to sheltered accommodation. The mental health reform in </w:t>
      </w:r>
      <w:r w:rsidR="00E1309A" w:rsidRPr="00B92503">
        <w:rPr>
          <w:rFonts w:cs="Arial"/>
          <w:szCs w:val="24"/>
        </w:rPr>
        <w:t>Luxembourg</w:t>
      </w:r>
      <w:r w:rsidRPr="00B92503">
        <w:rPr>
          <w:rFonts w:cs="Arial"/>
          <w:szCs w:val="24"/>
        </w:rPr>
        <w:t xml:space="preserve">, which gained renewed momentum in 2005, </w:t>
      </w:r>
      <w:r w:rsidR="00541BD0" w:rsidRPr="00B92503">
        <w:rPr>
          <w:rFonts w:cs="Arial"/>
          <w:szCs w:val="24"/>
        </w:rPr>
        <w:t>has</w:t>
      </w:r>
      <w:r w:rsidRPr="00B92503">
        <w:rPr>
          <w:rFonts w:cs="Arial"/>
          <w:szCs w:val="24"/>
        </w:rPr>
        <w:t xml:space="preserve"> be</w:t>
      </w:r>
      <w:r w:rsidR="00541BD0" w:rsidRPr="00B92503">
        <w:rPr>
          <w:rFonts w:cs="Arial"/>
          <w:szCs w:val="24"/>
        </w:rPr>
        <w:t>en</w:t>
      </w:r>
      <w:r w:rsidRPr="00B92503">
        <w:rPr>
          <w:rFonts w:cs="Arial"/>
          <w:szCs w:val="24"/>
        </w:rPr>
        <w:t xml:space="preserve"> summarized as follows: “</w:t>
      </w:r>
      <w:r w:rsidR="00307AE4" w:rsidRPr="00B92503">
        <w:rPr>
          <w:rFonts w:cs="Arial"/>
          <w:i/>
          <w:szCs w:val="24"/>
        </w:rPr>
        <w:t>d</w:t>
      </w:r>
      <w:r w:rsidRPr="00B92503">
        <w:rPr>
          <w:rFonts w:cs="Arial"/>
          <w:i/>
          <w:szCs w:val="24"/>
        </w:rPr>
        <w:t>e-institutionalization, de</w:t>
      </w:r>
      <w:r w:rsidR="00541BD0" w:rsidRPr="00B92503">
        <w:rPr>
          <w:rFonts w:cs="Arial"/>
          <w:i/>
          <w:szCs w:val="24"/>
        </w:rPr>
        <w:t>-</w:t>
      </w:r>
      <w:r w:rsidRPr="00B92503">
        <w:rPr>
          <w:rFonts w:cs="Arial"/>
          <w:i/>
          <w:szCs w:val="24"/>
        </w:rPr>
        <w:t>centralization, de</w:t>
      </w:r>
      <w:r w:rsidR="00541BD0" w:rsidRPr="00B92503">
        <w:rPr>
          <w:rFonts w:cs="Arial"/>
          <w:i/>
          <w:szCs w:val="24"/>
        </w:rPr>
        <w:t>-</w:t>
      </w:r>
      <w:r w:rsidRPr="00B92503">
        <w:rPr>
          <w:rFonts w:cs="Arial"/>
          <w:i/>
          <w:szCs w:val="24"/>
        </w:rPr>
        <w:t>stigmati</w:t>
      </w:r>
      <w:r w:rsidR="00541BD0" w:rsidRPr="00B92503">
        <w:rPr>
          <w:rFonts w:cs="Arial"/>
          <w:i/>
          <w:szCs w:val="24"/>
        </w:rPr>
        <w:t>s</w:t>
      </w:r>
      <w:r w:rsidRPr="00B92503">
        <w:rPr>
          <w:rFonts w:cs="Arial"/>
          <w:i/>
          <w:szCs w:val="24"/>
        </w:rPr>
        <w:t>ation and prevention</w:t>
      </w:r>
      <w:r w:rsidRPr="00B92503">
        <w:rPr>
          <w:rFonts w:cs="Arial"/>
          <w:szCs w:val="24"/>
        </w:rPr>
        <w:t>.”</w:t>
      </w:r>
    </w:p>
    <w:p w:rsidR="00DB41AE" w:rsidRPr="00B92503" w:rsidRDefault="00DB41AE" w:rsidP="00B92503">
      <w:pPr>
        <w:rPr>
          <w:rFonts w:cs="Arial"/>
          <w:szCs w:val="24"/>
        </w:rPr>
      </w:pPr>
    </w:p>
    <w:p w:rsidR="00541BD0" w:rsidRPr="00B92503" w:rsidRDefault="00541BD0" w:rsidP="00B92503">
      <w:pPr>
        <w:rPr>
          <w:rFonts w:cs="Arial"/>
          <w:szCs w:val="24"/>
        </w:rPr>
      </w:pPr>
      <w:r w:rsidRPr="00B92503">
        <w:rPr>
          <w:rFonts w:cs="Arial"/>
          <w:szCs w:val="24"/>
        </w:rPr>
        <w:t xml:space="preserve">The </w:t>
      </w:r>
      <w:r w:rsidR="00843D27" w:rsidRPr="00B92503">
        <w:rPr>
          <w:rFonts w:cs="Arial"/>
          <w:szCs w:val="24"/>
        </w:rPr>
        <w:t xml:space="preserve">first state report </w:t>
      </w:r>
      <w:r w:rsidRPr="00B92503">
        <w:rPr>
          <w:rFonts w:cs="Arial"/>
          <w:szCs w:val="24"/>
        </w:rPr>
        <w:t>(2014) provides the following figures</w:t>
      </w:r>
      <w:r w:rsidR="00307AE4" w:rsidRPr="00B92503">
        <w:rPr>
          <w:rFonts w:cs="Arial"/>
          <w:szCs w:val="24"/>
        </w:rPr>
        <w:t xml:space="preserve"> concerning disability and long-time care in 2011</w:t>
      </w:r>
      <w:r w:rsidRPr="00B92503">
        <w:rPr>
          <w:rFonts w:cs="Arial"/>
          <w:szCs w:val="24"/>
        </w:rPr>
        <w:t>:</w:t>
      </w:r>
    </w:p>
    <w:p w:rsidR="00F80D06" w:rsidRPr="00B92503" w:rsidRDefault="00F80D06" w:rsidP="00B92503">
      <w:pPr>
        <w:rPr>
          <w:rFonts w:cs="Arial"/>
          <w:szCs w:val="24"/>
        </w:rPr>
      </w:pPr>
    </w:p>
    <w:p w:rsidR="00755716" w:rsidRPr="00B92503" w:rsidRDefault="00755716" w:rsidP="00B92503">
      <w:pPr>
        <w:rPr>
          <w:rFonts w:cs="Arial"/>
          <w:szCs w:val="24"/>
        </w:rPr>
      </w:pPr>
      <w:r w:rsidRPr="00B92503">
        <w:rPr>
          <w:rFonts w:cs="Arial"/>
          <w:b/>
          <w:szCs w:val="24"/>
        </w:rPr>
        <w:t xml:space="preserve">Figure </w:t>
      </w:r>
      <w:r w:rsidR="0059055A" w:rsidRPr="00B92503">
        <w:rPr>
          <w:rFonts w:cs="Arial"/>
          <w:b/>
          <w:szCs w:val="24"/>
        </w:rPr>
        <w:t>2</w:t>
      </w:r>
      <w:r w:rsidRPr="00B92503">
        <w:rPr>
          <w:rFonts w:cs="Arial"/>
          <w:b/>
          <w:szCs w:val="24"/>
        </w:rPr>
        <w:t>:</w:t>
      </w:r>
      <w:r w:rsidRPr="00B92503">
        <w:rPr>
          <w:rFonts w:cs="Arial"/>
          <w:szCs w:val="24"/>
        </w:rPr>
        <w:t xml:space="preserve"> Persons with and without disabilities receiving benefits by the national long-time care assurance.</w:t>
      </w:r>
    </w:p>
    <w:tbl>
      <w:tblPr>
        <w:tblW w:w="9209" w:type="dxa"/>
        <w:tblLayout w:type="fixed"/>
        <w:tblLook w:val="04A0" w:firstRow="1" w:lastRow="0" w:firstColumn="1" w:lastColumn="0" w:noHBand="0" w:noVBand="1"/>
      </w:tblPr>
      <w:tblGrid>
        <w:gridCol w:w="1413"/>
        <w:gridCol w:w="1276"/>
        <w:gridCol w:w="1134"/>
        <w:gridCol w:w="1275"/>
        <w:gridCol w:w="1276"/>
        <w:gridCol w:w="1418"/>
        <w:gridCol w:w="1417"/>
      </w:tblGrid>
      <w:tr w:rsidR="001D0450" w:rsidRPr="00DB41AE" w:rsidTr="00DB41AE">
        <w:trPr>
          <w:trHeight w:val="1360"/>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3A6321" w:rsidRPr="00DB41AE" w:rsidRDefault="003A6321" w:rsidP="00DB41AE">
            <w:pPr>
              <w:jc w:val="left"/>
              <w:rPr>
                <w:rFonts w:cs="Arial"/>
                <w:color w:val="000000"/>
                <w:sz w:val="22"/>
                <w:szCs w:val="24"/>
                <w:lang w:val="en-US"/>
              </w:rPr>
            </w:pPr>
            <w:r w:rsidRPr="00DB41AE">
              <w:rPr>
                <w:rFonts w:eastAsia="Calibri" w:cs="Arial"/>
                <w:color w:val="000000"/>
                <w:sz w:val="22"/>
                <w:szCs w:val="24"/>
              </w:rPr>
              <w:t>Population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A6321" w:rsidRPr="00DB41AE" w:rsidRDefault="003A6321" w:rsidP="00DB41AE">
            <w:pPr>
              <w:jc w:val="center"/>
              <w:rPr>
                <w:rFonts w:cs="Arial"/>
                <w:color w:val="000000"/>
                <w:sz w:val="22"/>
                <w:szCs w:val="24"/>
                <w:lang w:val="en-US"/>
              </w:rPr>
            </w:pPr>
            <w:r w:rsidRPr="00DB41AE">
              <w:rPr>
                <w:rFonts w:eastAsia="Calibri" w:cs="Arial"/>
                <w:color w:val="000000"/>
                <w:sz w:val="22"/>
                <w:szCs w:val="24"/>
              </w:rPr>
              <w:t>Benefits from long term care insurance (LTC)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A6321" w:rsidRPr="00DB41AE" w:rsidRDefault="003A6321" w:rsidP="00DB41AE">
            <w:pPr>
              <w:jc w:val="center"/>
              <w:rPr>
                <w:rFonts w:cs="Arial"/>
                <w:color w:val="000000"/>
                <w:sz w:val="22"/>
                <w:szCs w:val="24"/>
                <w:lang w:val="en-US"/>
              </w:rPr>
            </w:pPr>
            <w:r w:rsidRPr="00DB41AE">
              <w:rPr>
                <w:rFonts w:cs="Arial"/>
                <w:color w:val="000000"/>
                <w:sz w:val="22"/>
                <w:szCs w:val="24"/>
                <w:lang w:val="en-US"/>
              </w:rPr>
              <w:t xml:space="preserve">LTC </w:t>
            </w:r>
            <w:r w:rsidR="00DB41AE" w:rsidRPr="00DB41AE">
              <w:rPr>
                <w:rFonts w:cs="Arial"/>
                <w:color w:val="000000"/>
                <w:sz w:val="22"/>
                <w:szCs w:val="24"/>
                <w:lang w:val="en-US"/>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A6321" w:rsidRPr="00DB41AE" w:rsidRDefault="003A6321" w:rsidP="00DB41AE">
            <w:pPr>
              <w:jc w:val="center"/>
              <w:rPr>
                <w:rFonts w:cs="Arial"/>
                <w:color w:val="000000"/>
                <w:sz w:val="22"/>
                <w:szCs w:val="24"/>
                <w:lang w:val="en-US"/>
              </w:rPr>
            </w:pPr>
            <w:r w:rsidRPr="00DB41AE">
              <w:rPr>
                <w:rFonts w:eastAsia="Calibri" w:cs="Arial"/>
                <w:color w:val="000000"/>
                <w:sz w:val="22"/>
                <w:szCs w:val="24"/>
              </w:rPr>
              <w:t>LTC with disabilities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A6321" w:rsidRPr="00DB41AE" w:rsidRDefault="003A6321" w:rsidP="00DB41AE">
            <w:pPr>
              <w:jc w:val="center"/>
              <w:rPr>
                <w:rFonts w:cs="Arial"/>
                <w:color w:val="000000"/>
                <w:sz w:val="22"/>
                <w:szCs w:val="24"/>
                <w:lang w:val="en-US"/>
              </w:rPr>
            </w:pPr>
            <w:r w:rsidRPr="00DB41AE">
              <w:rPr>
                <w:rFonts w:eastAsia="Calibri" w:cs="Arial"/>
                <w:color w:val="000000"/>
                <w:sz w:val="22"/>
                <w:szCs w:val="24"/>
              </w:rPr>
              <w:t xml:space="preserve">LTC </w:t>
            </w:r>
            <w:r w:rsidR="00DB41AE" w:rsidRPr="00DB41AE">
              <w:rPr>
                <w:rFonts w:eastAsia="Calibri" w:cs="Arial"/>
                <w:color w:val="000000"/>
                <w:sz w:val="22"/>
                <w:szCs w:val="24"/>
              </w:rPr>
              <w:t>%</w:t>
            </w:r>
            <w:r w:rsidRPr="00DB41AE">
              <w:rPr>
                <w:rFonts w:eastAsia="Calibri" w:cs="Arial"/>
                <w:color w:val="000000"/>
                <w:sz w:val="22"/>
                <w:szCs w:val="24"/>
              </w:rPr>
              <w:t xml:space="preserve"> with disabilities</w:t>
            </w:r>
          </w:p>
        </w:tc>
        <w:tc>
          <w:tcPr>
            <w:tcW w:w="2835" w:type="dxa"/>
            <w:gridSpan w:val="2"/>
            <w:vMerge w:val="restart"/>
            <w:tcBorders>
              <w:top w:val="single" w:sz="4" w:space="0" w:color="auto"/>
              <w:left w:val="nil"/>
              <w:right w:val="single" w:sz="4" w:space="0" w:color="auto"/>
            </w:tcBorders>
            <w:shd w:val="clear" w:color="auto" w:fill="auto"/>
            <w:vAlign w:val="center"/>
            <w:hideMark/>
          </w:tcPr>
          <w:p w:rsidR="003A6321" w:rsidRPr="00DB41AE" w:rsidRDefault="003A6321" w:rsidP="00DB41AE">
            <w:pPr>
              <w:jc w:val="center"/>
              <w:rPr>
                <w:rFonts w:cs="Arial"/>
                <w:color w:val="000000"/>
                <w:sz w:val="22"/>
                <w:szCs w:val="24"/>
                <w:lang w:val="en-US"/>
              </w:rPr>
            </w:pPr>
            <w:r w:rsidRPr="00DB41AE">
              <w:rPr>
                <w:rFonts w:eastAsia="Calibri" w:cs="Arial"/>
                <w:color w:val="000000"/>
                <w:sz w:val="22"/>
                <w:szCs w:val="24"/>
                <w:lang w:val="en-US"/>
              </w:rPr>
              <w:t>W</w:t>
            </w:r>
            <w:proofErr w:type="spellStart"/>
            <w:r w:rsidRPr="00DB41AE">
              <w:rPr>
                <w:rFonts w:eastAsia="Calibri" w:cs="Arial"/>
                <w:color w:val="000000"/>
                <w:sz w:val="22"/>
                <w:szCs w:val="24"/>
              </w:rPr>
              <w:t>ithin</w:t>
            </w:r>
            <w:proofErr w:type="spellEnd"/>
            <w:r w:rsidRPr="00DB41AE">
              <w:rPr>
                <w:rFonts w:eastAsia="Calibri" w:cs="Arial"/>
                <w:color w:val="000000"/>
                <w:sz w:val="22"/>
                <w:szCs w:val="24"/>
              </w:rPr>
              <w:t xml:space="preserve"> the total of LTC with disabilities </w:t>
            </w:r>
            <w:r w:rsidR="003E0AC2" w:rsidRPr="00DB41AE">
              <w:rPr>
                <w:rFonts w:eastAsia="Calibri" w:cs="Arial"/>
                <w:color w:val="000000"/>
                <w:sz w:val="22"/>
                <w:szCs w:val="24"/>
              </w:rPr>
              <w:t>(N=3995)</w:t>
            </w:r>
          </w:p>
        </w:tc>
      </w:tr>
      <w:tr w:rsidR="001D0450" w:rsidRPr="00DB41AE" w:rsidTr="00DB41AE">
        <w:trPr>
          <w:trHeight w:val="340"/>
        </w:trPr>
        <w:tc>
          <w:tcPr>
            <w:tcW w:w="1413" w:type="dxa"/>
            <w:vMerge/>
            <w:tcBorders>
              <w:left w:val="single" w:sz="4" w:space="0" w:color="auto"/>
              <w:bottom w:val="single" w:sz="4" w:space="0" w:color="auto"/>
              <w:right w:val="single" w:sz="4" w:space="0" w:color="auto"/>
            </w:tcBorders>
            <w:shd w:val="clear" w:color="auto" w:fill="auto"/>
            <w:vAlign w:val="center"/>
            <w:hideMark/>
          </w:tcPr>
          <w:p w:rsidR="003A6321" w:rsidRPr="00DB41AE" w:rsidRDefault="003A6321" w:rsidP="00DB41AE">
            <w:pPr>
              <w:jc w:val="left"/>
              <w:rPr>
                <w:rFonts w:cs="Arial"/>
                <w:color w:val="000000"/>
                <w:sz w:val="22"/>
                <w:szCs w:val="24"/>
                <w:lang w:val="en-US"/>
              </w:rPr>
            </w:pPr>
          </w:p>
        </w:tc>
        <w:tc>
          <w:tcPr>
            <w:tcW w:w="1276" w:type="dxa"/>
            <w:tcBorders>
              <w:top w:val="nil"/>
              <w:left w:val="nil"/>
              <w:bottom w:val="single" w:sz="4" w:space="0" w:color="auto"/>
              <w:right w:val="single" w:sz="4" w:space="0" w:color="auto"/>
            </w:tcBorders>
            <w:shd w:val="clear" w:color="auto" w:fill="auto"/>
            <w:vAlign w:val="center"/>
            <w:hideMark/>
          </w:tcPr>
          <w:p w:rsidR="003A6321" w:rsidRPr="00DB41AE" w:rsidRDefault="003A6321" w:rsidP="00DB41AE">
            <w:pPr>
              <w:jc w:val="right"/>
              <w:rPr>
                <w:rFonts w:cs="Arial"/>
                <w:color w:val="000000"/>
                <w:sz w:val="22"/>
                <w:szCs w:val="24"/>
                <w:lang w:val="en-US"/>
              </w:rPr>
            </w:pPr>
            <w:r w:rsidRPr="00DB41AE">
              <w:rPr>
                <w:rFonts w:eastAsia="Calibri" w:cs="Arial"/>
                <w:color w:val="000000"/>
                <w:sz w:val="22"/>
                <w:szCs w:val="24"/>
              </w:rPr>
              <w:t>12</w:t>
            </w:r>
            <w:r w:rsidR="00DB41AE" w:rsidRPr="00DB41AE">
              <w:rPr>
                <w:rFonts w:eastAsia="Calibri" w:cs="Arial"/>
                <w:color w:val="000000"/>
                <w:sz w:val="22"/>
                <w:szCs w:val="24"/>
              </w:rPr>
              <w:t>,</w:t>
            </w:r>
            <w:r w:rsidRPr="00DB41AE">
              <w:rPr>
                <w:rFonts w:eastAsia="Calibri" w:cs="Arial"/>
                <w:color w:val="000000"/>
                <w:sz w:val="22"/>
                <w:szCs w:val="24"/>
              </w:rPr>
              <w:t>327</w:t>
            </w:r>
          </w:p>
        </w:tc>
        <w:tc>
          <w:tcPr>
            <w:tcW w:w="1134" w:type="dxa"/>
            <w:tcBorders>
              <w:top w:val="nil"/>
              <w:left w:val="nil"/>
              <w:bottom w:val="single" w:sz="4" w:space="0" w:color="auto"/>
              <w:right w:val="single" w:sz="4" w:space="0" w:color="auto"/>
            </w:tcBorders>
            <w:shd w:val="clear" w:color="auto" w:fill="auto"/>
            <w:vAlign w:val="center"/>
            <w:hideMark/>
          </w:tcPr>
          <w:p w:rsidR="003A6321" w:rsidRPr="00DB41AE" w:rsidRDefault="003A6321" w:rsidP="00DB41AE">
            <w:pPr>
              <w:jc w:val="right"/>
              <w:rPr>
                <w:rFonts w:cs="Arial"/>
                <w:color w:val="000000"/>
                <w:sz w:val="22"/>
                <w:szCs w:val="24"/>
                <w:lang w:val="en-US"/>
              </w:rPr>
            </w:pPr>
          </w:p>
        </w:tc>
        <w:tc>
          <w:tcPr>
            <w:tcW w:w="1275" w:type="dxa"/>
            <w:tcBorders>
              <w:top w:val="nil"/>
              <w:left w:val="nil"/>
              <w:bottom w:val="single" w:sz="4" w:space="0" w:color="auto"/>
              <w:right w:val="single" w:sz="4" w:space="0" w:color="auto"/>
            </w:tcBorders>
            <w:shd w:val="clear" w:color="auto" w:fill="auto"/>
            <w:vAlign w:val="center"/>
            <w:hideMark/>
          </w:tcPr>
          <w:p w:rsidR="003A6321" w:rsidRPr="00DB41AE" w:rsidRDefault="003A6321" w:rsidP="00DB41AE">
            <w:pPr>
              <w:jc w:val="right"/>
              <w:rPr>
                <w:rFonts w:cs="Arial"/>
                <w:color w:val="000000"/>
                <w:sz w:val="22"/>
                <w:szCs w:val="24"/>
                <w:lang w:val="en-US"/>
              </w:rPr>
            </w:pPr>
            <w:r w:rsidRPr="00DB41AE">
              <w:rPr>
                <w:rFonts w:eastAsia="Calibri" w:cs="Arial"/>
                <w:color w:val="000000"/>
                <w:sz w:val="22"/>
                <w:szCs w:val="24"/>
              </w:rPr>
              <w:t>3</w:t>
            </w:r>
            <w:r w:rsidR="00DB41AE" w:rsidRPr="00DB41AE">
              <w:rPr>
                <w:rFonts w:eastAsia="Calibri" w:cs="Arial"/>
                <w:color w:val="000000"/>
                <w:sz w:val="22"/>
                <w:szCs w:val="24"/>
              </w:rPr>
              <w:t>,</w:t>
            </w:r>
            <w:r w:rsidRPr="00DB41AE">
              <w:rPr>
                <w:rFonts w:eastAsia="Calibri" w:cs="Arial"/>
                <w:color w:val="000000"/>
                <w:sz w:val="22"/>
                <w:szCs w:val="24"/>
              </w:rPr>
              <w:t>995</w:t>
            </w:r>
          </w:p>
        </w:tc>
        <w:tc>
          <w:tcPr>
            <w:tcW w:w="1276" w:type="dxa"/>
            <w:tcBorders>
              <w:top w:val="nil"/>
              <w:left w:val="nil"/>
              <w:bottom w:val="single" w:sz="4" w:space="0" w:color="auto"/>
              <w:right w:val="single" w:sz="4" w:space="0" w:color="auto"/>
            </w:tcBorders>
            <w:shd w:val="clear" w:color="auto" w:fill="auto"/>
            <w:vAlign w:val="center"/>
            <w:hideMark/>
          </w:tcPr>
          <w:p w:rsidR="003A6321" w:rsidRPr="00DB41AE" w:rsidRDefault="003A6321" w:rsidP="00DB41AE">
            <w:pPr>
              <w:jc w:val="right"/>
              <w:rPr>
                <w:rFonts w:cs="Arial"/>
                <w:color w:val="000000"/>
                <w:sz w:val="22"/>
                <w:szCs w:val="24"/>
                <w:lang w:val="en-US"/>
              </w:rPr>
            </w:pPr>
            <w:r w:rsidRPr="00DB41AE">
              <w:rPr>
                <w:rFonts w:eastAsia="Calibri" w:cs="Arial"/>
                <w:color w:val="000000"/>
                <w:sz w:val="22"/>
                <w:szCs w:val="24"/>
              </w:rPr>
              <w:t>32</w:t>
            </w:r>
            <w:r w:rsidR="00DB41AE" w:rsidRPr="00DB41AE">
              <w:rPr>
                <w:rFonts w:eastAsia="Calibri" w:cs="Arial"/>
                <w:color w:val="000000"/>
                <w:sz w:val="22"/>
                <w:szCs w:val="24"/>
              </w:rPr>
              <w:t>,</w:t>
            </w:r>
            <w:r w:rsidRPr="00DB41AE">
              <w:rPr>
                <w:rFonts w:eastAsia="Calibri" w:cs="Arial"/>
                <w:color w:val="000000"/>
                <w:sz w:val="22"/>
                <w:szCs w:val="24"/>
              </w:rPr>
              <w:t>41%</w:t>
            </w:r>
          </w:p>
        </w:tc>
        <w:tc>
          <w:tcPr>
            <w:tcW w:w="2835" w:type="dxa"/>
            <w:gridSpan w:val="2"/>
            <w:vMerge/>
            <w:tcBorders>
              <w:left w:val="nil"/>
              <w:bottom w:val="single" w:sz="4" w:space="0" w:color="auto"/>
              <w:right w:val="single" w:sz="4" w:space="0" w:color="auto"/>
            </w:tcBorders>
            <w:shd w:val="clear" w:color="auto" w:fill="auto"/>
            <w:vAlign w:val="center"/>
            <w:hideMark/>
          </w:tcPr>
          <w:p w:rsidR="003A6321" w:rsidRPr="00DB41AE" w:rsidRDefault="003A6321" w:rsidP="00DB41AE">
            <w:pPr>
              <w:jc w:val="left"/>
              <w:rPr>
                <w:rFonts w:cs="Arial"/>
                <w:color w:val="000000"/>
                <w:sz w:val="22"/>
                <w:szCs w:val="24"/>
                <w:lang w:val="en-US"/>
              </w:rPr>
            </w:pPr>
          </w:p>
        </w:tc>
      </w:tr>
      <w:tr w:rsidR="001D0450" w:rsidRPr="00DB41AE" w:rsidTr="00DB41AE">
        <w:trPr>
          <w:trHeight w:val="34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3A6321" w:rsidRPr="00DB41AE" w:rsidRDefault="003A6321" w:rsidP="00DB41AE">
            <w:pPr>
              <w:jc w:val="left"/>
              <w:rPr>
                <w:rFonts w:cs="Arial"/>
                <w:color w:val="000000"/>
                <w:sz w:val="22"/>
                <w:szCs w:val="24"/>
                <w:lang w:val="en-US"/>
              </w:rPr>
            </w:pPr>
            <w:r w:rsidRPr="00DB41AE">
              <w:rPr>
                <w:rFonts w:eastAsia="Calibri" w:cs="Arial"/>
                <w:color w:val="000000"/>
                <w:sz w:val="22"/>
                <w:szCs w:val="24"/>
              </w:rPr>
              <w:t>Women</w:t>
            </w:r>
          </w:p>
        </w:tc>
        <w:tc>
          <w:tcPr>
            <w:tcW w:w="1276" w:type="dxa"/>
            <w:tcBorders>
              <w:top w:val="nil"/>
              <w:left w:val="nil"/>
              <w:bottom w:val="single" w:sz="4" w:space="0" w:color="auto"/>
              <w:right w:val="single" w:sz="4" w:space="0" w:color="auto"/>
            </w:tcBorders>
            <w:shd w:val="clear" w:color="auto" w:fill="auto"/>
            <w:vAlign w:val="center"/>
            <w:hideMark/>
          </w:tcPr>
          <w:p w:rsidR="003A6321" w:rsidRPr="00DB41AE" w:rsidRDefault="003A6321" w:rsidP="00DB41AE">
            <w:pPr>
              <w:jc w:val="right"/>
              <w:rPr>
                <w:rFonts w:cs="Arial"/>
                <w:color w:val="000000"/>
                <w:sz w:val="22"/>
                <w:szCs w:val="24"/>
                <w:lang w:val="en-US"/>
              </w:rPr>
            </w:pPr>
            <w:r w:rsidRPr="00DB41AE">
              <w:rPr>
                <w:rFonts w:eastAsia="Calibri" w:cs="Arial"/>
                <w:color w:val="000000"/>
                <w:sz w:val="22"/>
                <w:szCs w:val="24"/>
              </w:rPr>
              <w:t>8</w:t>
            </w:r>
            <w:r w:rsidR="00DB41AE" w:rsidRPr="00DB41AE">
              <w:rPr>
                <w:rFonts w:eastAsia="Calibri" w:cs="Arial"/>
                <w:color w:val="000000"/>
                <w:sz w:val="22"/>
                <w:szCs w:val="24"/>
              </w:rPr>
              <w:t>,</w:t>
            </w:r>
            <w:r w:rsidRPr="00DB41AE">
              <w:rPr>
                <w:rFonts w:eastAsia="Calibri" w:cs="Arial"/>
                <w:color w:val="000000"/>
                <w:sz w:val="22"/>
                <w:szCs w:val="24"/>
              </w:rPr>
              <w:t>037</w:t>
            </w:r>
          </w:p>
        </w:tc>
        <w:tc>
          <w:tcPr>
            <w:tcW w:w="1134" w:type="dxa"/>
            <w:tcBorders>
              <w:top w:val="nil"/>
              <w:left w:val="nil"/>
              <w:bottom w:val="single" w:sz="4" w:space="0" w:color="auto"/>
              <w:right w:val="single" w:sz="4" w:space="0" w:color="auto"/>
            </w:tcBorders>
            <w:shd w:val="clear" w:color="auto" w:fill="auto"/>
            <w:vAlign w:val="center"/>
            <w:hideMark/>
          </w:tcPr>
          <w:p w:rsidR="003A6321" w:rsidRPr="00DB41AE" w:rsidRDefault="003A6321" w:rsidP="00DB41AE">
            <w:pPr>
              <w:jc w:val="right"/>
              <w:rPr>
                <w:rFonts w:cs="Arial"/>
                <w:color w:val="000000"/>
                <w:sz w:val="22"/>
                <w:szCs w:val="24"/>
                <w:lang w:val="en-US"/>
              </w:rPr>
            </w:pPr>
            <w:r w:rsidRPr="00DB41AE">
              <w:rPr>
                <w:rFonts w:cs="Arial"/>
                <w:color w:val="000000"/>
                <w:sz w:val="22"/>
                <w:szCs w:val="24"/>
                <w:lang w:val="en-US"/>
              </w:rPr>
              <w:t>65.20%</w:t>
            </w:r>
          </w:p>
        </w:tc>
        <w:tc>
          <w:tcPr>
            <w:tcW w:w="1275" w:type="dxa"/>
            <w:tcBorders>
              <w:top w:val="nil"/>
              <w:left w:val="nil"/>
              <w:bottom w:val="single" w:sz="4" w:space="0" w:color="auto"/>
              <w:right w:val="single" w:sz="4" w:space="0" w:color="auto"/>
            </w:tcBorders>
            <w:shd w:val="clear" w:color="auto" w:fill="auto"/>
            <w:vAlign w:val="center"/>
            <w:hideMark/>
          </w:tcPr>
          <w:p w:rsidR="003A6321" w:rsidRPr="00DB41AE" w:rsidRDefault="003A6321" w:rsidP="00DB41AE">
            <w:pPr>
              <w:jc w:val="right"/>
              <w:rPr>
                <w:rFonts w:cs="Arial"/>
                <w:color w:val="000000"/>
                <w:sz w:val="22"/>
                <w:szCs w:val="24"/>
                <w:lang w:val="en-US"/>
              </w:rPr>
            </w:pPr>
            <w:r w:rsidRPr="00DB41AE">
              <w:rPr>
                <w:rFonts w:eastAsia="Calibri" w:cs="Arial"/>
                <w:color w:val="000000"/>
                <w:sz w:val="22"/>
                <w:szCs w:val="24"/>
              </w:rPr>
              <w:t>2</w:t>
            </w:r>
            <w:r w:rsidR="00DB41AE" w:rsidRPr="00DB41AE">
              <w:rPr>
                <w:rFonts w:eastAsia="Calibri" w:cs="Arial"/>
                <w:color w:val="000000"/>
                <w:sz w:val="22"/>
                <w:szCs w:val="24"/>
              </w:rPr>
              <w:t>,</w:t>
            </w:r>
            <w:r w:rsidRPr="00DB41AE">
              <w:rPr>
                <w:rFonts w:eastAsia="Calibri" w:cs="Arial"/>
                <w:color w:val="000000"/>
                <w:sz w:val="22"/>
                <w:szCs w:val="24"/>
              </w:rPr>
              <w:t>153</w:t>
            </w:r>
          </w:p>
        </w:tc>
        <w:tc>
          <w:tcPr>
            <w:tcW w:w="1276" w:type="dxa"/>
            <w:tcBorders>
              <w:top w:val="nil"/>
              <w:left w:val="nil"/>
              <w:bottom w:val="single" w:sz="4" w:space="0" w:color="auto"/>
              <w:right w:val="single" w:sz="4" w:space="0" w:color="auto"/>
            </w:tcBorders>
            <w:shd w:val="clear" w:color="auto" w:fill="auto"/>
            <w:vAlign w:val="center"/>
            <w:hideMark/>
          </w:tcPr>
          <w:p w:rsidR="003A6321" w:rsidRPr="00DB41AE" w:rsidRDefault="003A6321" w:rsidP="00DB41AE">
            <w:pPr>
              <w:jc w:val="right"/>
              <w:rPr>
                <w:rFonts w:cs="Arial"/>
                <w:color w:val="000000"/>
                <w:sz w:val="22"/>
                <w:szCs w:val="24"/>
                <w:lang w:val="en-US"/>
              </w:rPr>
            </w:pPr>
            <w:r w:rsidRPr="00DB41AE">
              <w:rPr>
                <w:rFonts w:eastAsia="Calibri" w:cs="Arial"/>
                <w:color w:val="000000"/>
                <w:sz w:val="22"/>
                <w:szCs w:val="24"/>
              </w:rPr>
              <w:t>26</w:t>
            </w:r>
            <w:r w:rsidR="00DB41AE" w:rsidRPr="00DB41AE">
              <w:rPr>
                <w:rFonts w:eastAsia="Calibri" w:cs="Arial"/>
                <w:color w:val="000000"/>
                <w:sz w:val="22"/>
                <w:szCs w:val="24"/>
              </w:rPr>
              <w:t>,</w:t>
            </w:r>
            <w:r w:rsidRPr="00DB41AE">
              <w:rPr>
                <w:rFonts w:eastAsia="Calibri" w:cs="Arial"/>
                <w:color w:val="000000"/>
                <w:sz w:val="22"/>
                <w:szCs w:val="24"/>
              </w:rPr>
              <w:t>79%</w:t>
            </w:r>
          </w:p>
        </w:tc>
        <w:tc>
          <w:tcPr>
            <w:tcW w:w="2835" w:type="dxa"/>
            <w:gridSpan w:val="2"/>
            <w:tcBorders>
              <w:top w:val="nil"/>
              <w:left w:val="nil"/>
              <w:bottom w:val="single" w:sz="4" w:space="0" w:color="auto"/>
              <w:right w:val="single" w:sz="4" w:space="0" w:color="auto"/>
            </w:tcBorders>
            <w:shd w:val="clear" w:color="auto" w:fill="auto"/>
            <w:vAlign w:val="center"/>
            <w:hideMark/>
          </w:tcPr>
          <w:p w:rsidR="003A6321" w:rsidRPr="00DB41AE" w:rsidRDefault="003A6321" w:rsidP="00DB41AE">
            <w:pPr>
              <w:jc w:val="right"/>
              <w:rPr>
                <w:rFonts w:cs="Arial"/>
                <w:color w:val="000000"/>
                <w:sz w:val="22"/>
                <w:szCs w:val="24"/>
                <w:lang w:val="en-US"/>
              </w:rPr>
            </w:pPr>
            <w:r w:rsidRPr="00DB41AE">
              <w:rPr>
                <w:rFonts w:eastAsia="Calibri" w:cs="Arial"/>
                <w:color w:val="000000"/>
                <w:sz w:val="22"/>
                <w:szCs w:val="24"/>
              </w:rPr>
              <w:t>53</w:t>
            </w:r>
            <w:r w:rsidR="00DB41AE" w:rsidRPr="00DB41AE">
              <w:rPr>
                <w:rFonts w:eastAsia="Calibri" w:cs="Arial"/>
                <w:color w:val="000000"/>
                <w:sz w:val="22"/>
                <w:szCs w:val="24"/>
              </w:rPr>
              <w:t>,</w:t>
            </w:r>
            <w:r w:rsidRPr="00DB41AE">
              <w:rPr>
                <w:rFonts w:eastAsia="Calibri" w:cs="Arial"/>
                <w:color w:val="000000"/>
                <w:sz w:val="22"/>
                <w:szCs w:val="24"/>
              </w:rPr>
              <w:t>89%</w:t>
            </w:r>
          </w:p>
        </w:tc>
      </w:tr>
      <w:tr w:rsidR="001D0450" w:rsidRPr="00DB41AE" w:rsidTr="00DB41AE">
        <w:trPr>
          <w:trHeight w:val="34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3A6321" w:rsidRPr="00DB41AE" w:rsidRDefault="003A6321" w:rsidP="00DB41AE">
            <w:pPr>
              <w:jc w:val="left"/>
              <w:rPr>
                <w:rFonts w:cs="Arial"/>
                <w:color w:val="000000"/>
                <w:sz w:val="22"/>
                <w:szCs w:val="24"/>
                <w:lang w:val="en-US"/>
              </w:rPr>
            </w:pPr>
            <w:r w:rsidRPr="00DB41AE">
              <w:rPr>
                <w:rFonts w:eastAsia="Calibri" w:cs="Arial"/>
                <w:color w:val="000000"/>
                <w:sz w:val="22"/>
                <w:szCs w:val="24"/>
              </w:rPr>
              <w:t>Men</w:t>
            </w:r>
          </w:p>
        </w:tc>
        <w:tc>
          <w:tcPr>
            <w:tcW w:w="1276" w:type="dxa"/>
            <w:tcBorders>
              <w:top w:val="nil"/>
              <w:left w:val="nil"/>
              <w:bottom w:val="single" w:sz="4" w:space="0" w:color="auto"/>
              <w:right w:val="single" w:sz="4" w:space="0" w:color="auto"/>
            </w:tcBorders>
            <w:shd w:val="clear" w:color="auto" w:fill="auto"/>
            <w:vAlign w:val="center"/>
            <w:hideMark/>
          </w:tcPr>
          <w:p w:rsidR="003A6321" w:rsidRPr="00DB41AE" w:rsidRDefault="003A6321" w:rsidP="00DB41AE">
            <w:pPr>
              <w:jc w:val="right"/>
              <w:rPr>
                <w:rFonts w:cs="Arial"/>
                <w:color w:val="000000"/>
                <w:sz w:val="22"/>
                <w:szCs w:val="24"/>
                <w:lang w:val="en-US"/>
              </w:rPr>
            </w:pPr>
            <w:r w:rsidRPr="00DB41AE">
              <w:rPr>
                <w:rFonts w:eastAsia="Calibri" w:cs="Arial"/>
                <w:color w:val="000000"/>
                <w:sz w:val="22"/>
                <w:szCs w:val="24"/>
              </w:rPr>
              <w:t>4</w:t>
            </w:r>
            <w:r w:rsidR="00DB41AE" w:rsidRPr="00DB41AE">
              <w:rPr>
                <w:rFonts w:eastAsia="Calibri" w:cs="Arial"/>
                <w:color w:val="000000"/>
                <w:sz w:val="22"/>
                <w:szCs w:val="24"/>
              </w:rPr>
              <w:t>,</w:t>
            </w:r>
            <w:r w:rsidRPr="00DB41AE">
              <w:rPr>
                <w:rFonts w:eastAsia="Calibri" w:cs="Arial"/>
                <w:color w:val="000000"/>
                <w:sz w:val="22"/>
                <w:szCs w:val="24"/>
              </w:rPr>
              <w:t>290</w:t>
            </w:r>
          </w:p>
        </w:tc>
        <w:tc>
          <w:tcPr>
            <w:tcW w:w="1134" w:type="dxa"/>
            <w:tcBorders>
              <w:top w:val="nil"/>
              <w:left w:val="nil"/>
              <w:bottom w:val="single" w:sz="4" w:space="0" w:color="auto"/>
              <w:right w:val="single" w:sz="4" w:space="0" w:color="auto"/>
            </w:tcBorders>
            <w:shd w:val="clear" w:color="auto" w:fill="auto"/>
            <w:vAlign w:val="center"/>
            <w:hideMark/>
          </w:tcPr>
          <w:p w:rsidR="003A6321" w:rsidRPr="00DB41AE" w:rsidRDefault="003A6321" w:rsidP="00DB41AE">
            <w:pPr>
              <w:jc w:val="right"/>
              <w:rPr>
                <w:rFonts w:cs="Arial"/>
                <w:color w:val="000000"/>
                <w:sz w:val="22"/>
                <w:szCs w:val="24"/>
                <w:lang w:val="en-US"/>
              </w:rPr>
            </w:pPr>
            <w:r w:rsidRPr="00DB41AE">
              <w:rPr>
                <w:rFonts w:cs="Arial"/>
                <w:color w:val="000000"/>
                <w:sz w:val="22"/>
                <w:szCs w:val="24"/>
                <w:lang w:val="en-US"/>
              </w:rPr>
              <w:t>34.80%</w:t>
            </w:r>
          </w:p>
        </w:tc>
        <w:tc>
          <w:tcPr>
            <w:tcW w:w="1275" w:type="dxa"/>
            <w:tcBorders>
              <w:top w:val="nil"/>
              <w:left w:val="nil"/>
              <w:bottom w:val="single" w:sz="4" w:space="0" w:color="auto"/>
              <w:right w:val="single" w:sz="4" w:space="0" w:color="auto"/>
            </w:tcBorders>
            <w:shd w:val="clear" w:color="auto" w:fill="auto"/>
            <w:vAlign w:val="center"/>
            <w:hideMark/>
          </w:tcPr>
          <w:p w:rsidR="003A6321" w:rsidRPr="00DB41AE" w:rsidRDefault="003A6321" w:rsidP="00DB41AE">
            <w:pPr>
              <w:jc w:val="right"/>
              <w:rPr>
                <w:rFonts w:cs="Arial"/>
                <w:color w:val="000000"/>
                <w:sz w:val="22"/>
                <w:szCs w:val="24"/>
                <w:lang w:val="en-US"/>
              </w:rPr>
            </w:pPr>
            <w:r w:rsidRPr="00DB41AE">
              <w:rPr>
                <w:rFonts w:eastAsia="Calibri" w:cs="Arial"/>
                <w:color w:val="000000"/>
                <w:sz w:val="22"/>
                <w:szCs w:val="24"/>
              </w:rPr>
              <w:t>1</w:t>
            </w:r>
            <w:r w:rsidR="00DB41AE" w:rsidRPr="00DB41AE">
              <w:rPr>
                <w:rFonts w:eastAsia="Calibri" w:cs="Arial"/>
                <w:color w:val="000000"/>
                <w:sz w:val="22"/>
                <w:szCs w:val="24"/>
              </w:rPr>
              <w:t>,</w:t>
            </w:r>
            <w:r w:rsidRPr="00DB41AE">
              <w:rPr>
                <w:rFonts w:eastAsia="Calibri" w:cs="Arial"/>
                <w:color w:val="000000"/>
                <w:sz w:val="22"/>
                <w:szCs w:val="24"/>
              </w:rPr>
              <w:t>842</w:t>
            </w:r>
          </w:p>
        </w:tc>
        <w:tc>
          <w:tcPr>
            <w:tcW w:w="1276" w:type="dxa"/>
            <w:tcBorders>
              <w:top w:val="nil"/>
              <w:left w:val="nil"/>
              <w:bottom w:val="single" w:sz="4" w:space="0" w:color="auto"/>
              <w:right w:val="single" w:sz="4" w:space="0" w:color="auto"/>
            </w:tcBorders>
            <w:shd w:val="clear" w:color="auto" w:fill="auto"/>
            <w:vAlign w:val="center"/>
            <w:hideMark/>
          </w:tcPr>
          <w:p w:rsidR="003A6321" w:rsidRPr="00DB41AE" w:rsidRDefault="003A6321" w:rsidP="00DB41AE">
            <w:pPr>
              <w:jc w:val="right"/>
              <w:rPr>
                <w:rFonts w:cs="Arial"/>
                <w:color w:val="000000"/>
                <w:sz w:val="22"/>
                <w:szCs w:val="24"/>
                <w:lang w:val="en-US"/>
              </w:rPr>
            </w:pPr>
            <w:r w:rsidRPr="00DB41AE">
              <w:rPr>
                <w:rFonts w:eastAsia="Calibri" w:cs="Arial"/>
                <w:color w:val="000000"/>
                <w:sz w:val="22"/>
                <w:szCs w:val="24"/>
              </w:rPr>
              <w:t>42</w:t>
            </w:r>
            <w:r w:rsidR="00DB41AE" w:rsidRPr="00DB41AE">
              <w:rPr>
                <w:rFonts w:eastAsia="Calibri" w:cs="Arial"/>
                <w:color w:val="000000"/>
                <w:sz w:val="22"/>
                <w:szCs w:val="24"/>
              </w:rPr>
              <w:t>,</w:t>
            </w:r>
            <w:r w:rsidRPr="00DB41AE">
              <w:rPr>
                <w:rFonts w:eastAsia="Calibri" w:cs="Arial"/>
                <w:color w:val="000000"/>
                <w:sz w:val="22"/>
                <w:szCs w:val="24"/>
              </w:rPr>
              <w:t>94%</w:t>
            </w:r>
          </w:p>
        </w:tc>
        <w:tc>
          <w:tcPr>
            <w:tcW w:w="2835" w:type="dxa"/>
            <w:gridSpan w:val="2"/>
            <w:tcBorders>
              <w:top w:val="nil"/>
              <w:left w:val="nil"/>
              <w:bottom w:val="single" w:sz="4" w:space="0" w:color="auto"/>
              <w:right w:val="single" w:sz="4" w:space="0" w:color="auto"/>
            </w:tcBorders>
            <w:shd w:val="clear" w:color="auto" w:fill="auto"/>
            <w:vAlign w:val="center"/>
            <w:hideMark/>
          </w:tcPr>
          <w:p w:rsidR="003A6321" w:rsidRPr="00DB41AE" w:rsidRDefault="003A6321" w:rsidP="00DB41AE">
            <w:pPr>
              <w:jc w:val="right"/>
              <w:rPr>
                <w:rFonts w:cs="Arial"/>
                <w:color w:val="000000"/>
                <w:sz w:val="22"/>
                <w:szCs w:val="24"/>
                <w:lang w:val="en-US"/>
              </w:rPr>
            </w:pPr>
            <w:r w:rsidRPr="00DB41AE">
              <w:rPr>
                <w:rFonts w:eastAsia="Calibri" w:cs="Arial"/>
                <w:color w:val="000000"/>
                <w:sz w:val="22"/>
                <w:szCs w:val="24"/>
              </w:rPr>
              <w:t>46</w:t>
            </w:r>
            <w:r w:rsidR="00DB41AE" w:rsidRPr="00DB41AE">
              <w:rPr>
                <w:rFonts w:eastAsia="Calibri" w:cs="Arial"/>
                <w:color w:val="000000"/>
                <w:sz w:val="22"/>
                <w:szCs w:val="24"/>
              </w:rPr>
              <w:t>,</w:t>
            </w:r>
            <w:r w:rsidRPr="00DB41AE">
              <w:rPr>
                <w:rFonts w:eastAsia="Calibri" w:cs="Arial"/>
                <w:color w:val="000000"/>
                <w:sz w:val="22"/>
                <w:szCs w:val="24"/>
              </w:rPr>
              <w:t>11%</w:t>
            </w:r>
          </w:p>
        </w:tc>
      </w:tr>
      <w:tr w:rsidR="001D0450" w:rsidRPr="00DB41AE" w:rsidTr="00DB41AE">
        <w:trPr>
          <w:trHeight w:val="680"/>
        </w:trPr>
        <w:tc>
          <w:tcPr>
            <w:tcW w:w="1413" w:type="dxa"/>
            <w:tcBorders>
              <w:top w:val="nil"/>
              <w:left w:val="single" w:sz="4" w:space="0" w:color="auto"/>
              <w:bottom w:val="single" w:sz="4" w:space="0" w:color="auto"/>
              <w:right w:val="single" w:sz="4" w:space="0" w:color="auto"/>
            </w:tcBorders>
            <w:shd w:val="clear" w:color="auto" w:fill="auto"/>
            <w:vAlign w:val="center"/>
          </w:tcPr>
          <w:p w:rsidR="001412B8" w:rsidRPr="00DB41AE" w:rsidRDefault="001412B8" w:rsidP="00DB41AE">
            <w:pPr>
              <w:jc w:val="left"/>
              <w:rPr>
                <w:rFonts w:cs="Arial"/>
                <w:color w:val="000000"/>
                <w:sz w:val="22"/>
                <w:szCs w:val="24"/>
                <w:lang w:val="en-US"/>
              </w:rPr>
            </w:pPr>
            <w:r w:rsidRPr="00DB41AE">
              <w:rPr>
                <w:rFonts w:eastAsia="Calibri" w:cs="Arial"/>
                <w:color w:val="000000"/>
                <w:sz w:val="22"/>
                <w:szCs w:val="24"/>
              </w:rPr>
              <w:t>Age &lt;65</w:t>
            </w:r>
          </w:p>
        </w:tc>
        <w:tc>
          <w:tcPr>
            <w:tcW w:w="1276" w:type="dxa"/>
            <w:tcBorders>
              <w:top w:val="nil"/>
              <w:left w:val="nil"/>
              <w:bottom w:val="single" w:sz="4" w:space="0" w:color="auto"/>
              <w:right w:val="single" w:sz="4" w:space="0" w:color="auto"/>
            </w:tcBorders>
            <w:shd w:val="clear" w:color="auto" w:fill="auto"/>
            <w:vAlign w:val="center"/>
          </w:tcPr>
          <w:p w:rsidR="001412B8" w:rsidRPr="00DB41AE" w:rsidRDefault="001412B8" w:rsidP="00DB41AE">
            <w:pPr>
              <w:jc w:val="right"/>
              <w:rPr>
                <w:rFonts w:cs="Arial"/>
                <w:color w:val="000000"/>
                <w:sz w:val="22"/>
                <w:szCs w:val="24"/>
                <w:lang w:val="en-US"/>
              </w:rPr>
            </w:pPr>
          </w:p>
        </w:tc>
        <w:tc>
          <w:tcPr>
            <w:tcW w:w="1134" w:type="dxa"/>
            <w:tcBorders>
              <w:top w:val="nil"/>
              <w:left w:val="nil"/>
              <w:bottom w:val="single" w:sz="4" w:space="0" w:color="auto"/>
              <w:right w:val="single" w:sz="4" w:space="0" w:color="auto"/>
            </w:tcBorders>
            <w:shd w:val="clear" w:color="auto" w:fill="auto"/>
            <w:vAlign w:val="center"/>
          </w:tcPr>
          <w:p w:rsidR="001412B8" w:rsidRPr="00DB41AE" w:rsidRDefault="001412B8" w:rsidP="00DB41AE">
            <w:pPr>
              <w:jc w:val="right"/>
              <w:rPr>
                <w:rFonts w:cs="Arial"/>
                <w:color w:val="000000"/>
                <w:sz w:val="22"/>
                <w:szCs w:val="24"/>
                <w:lang w:val="en-US"/>
              </w:rPr>
            </w:pPr>
          </w:p>
        </w:tc>
        <w:tc>
          <w:tcPr>
            <w:tcW w:w="1275" w:type="dxa"/>
            <w:tcBorders>
              <w:top w:val="nil"/>
              <w:left w:val="nil"/>
              <w:bottom w:val="single" w:sz="4" w:space="0" w:color="auto"/>
              <w:right w:val="single" w:sz="4" w:space="0" w:color="auto"/>
            </w:tcBorders>
            <w:shd w:val="clear" w:color="auto" w:fill="auto"/>
            <w:vAlign w:val="center"/>
          </w:tcPr>
          <w:p w:rsidR="001412B8" w:rsidRPr="00DB41AE" w:rsidRDefault="001412B8" w:rsidP="00DB41AE">
            <w:pPr>
              <w:jc w:val="right"/>
              <w:rPr>
                <w:rFonts w:cs="Arial"/>
                <w:color w:val="000000"/>
                <w:sz w:val="22"/>
                <w:szCs w:val="24"/>
                <w:lang w:val="en-US"/>
              </w:rPr>
            </w:pPr>
            <w:r w:rsidRPr="00DB41AE">
              <w:rPr>
                <w:rFonts w:cs="Arial"/>
                <w:color w:val="000000"/>
                <w:sz w:val="22"/>
                <w:szCs w:val="24"/>
                <w:lang w:val="en-US"/>
              </w:rPr>
              <w:t>1</w:t>
            </w:r>
            <w:r w:rsidR="00DB41AE" w:rsidRPr="00DB41AE">
              <w:rPr>
                <w:rFonts w:cs="Arial"/>
                <w:color w:val="000000"/>
                <w:sz w:val="22"/>
                <w:szCs w:val="24"/>
                <w:lang w:val="en-US"/>
              </w:rPr>
              <w:t>,</w:t>
            </w:r>
            <w:r w:rsidRPr="00DB41AE">
              <w:rPr>
                <w:rFonts w:cs="Arial"/>
                <w:color w:val="000000"/>
                <w:sz w:val="22"/>
                <w:szCs w:val="24"/>
                <w:lang w:val="en-US"/>
              </w:rPr>
              <w:t>847</w:t>
            </w:r>
          </w:p>
        </w:tc>
        <w:tc>
          <w:tcPr>
            <w:tcW w:w="1276" w:type="dxa"/>
            <w:tcBorders>
              <w:top w:val="nil"/>
              <w:left w:val="nil"/>
              <w:bottom w:val="single" w:sz="4" w:space="0" w:color="auto"/>
              <w:right w:val="single" w:sz="4" w:space="0" w:color="auto"/>
            </w:tcBorders>
            <w:shd w:val="clear" w:color="auto" w:fill="auto"/>
            <w:vAlign w:val="center"/>
          </w:tcPr>
          <w:p w:rsidR="001412B8" w:rsidRPr="00DB41AE" w:rsidRDefault="001412B8" w:rsidP="00DB41AE">
            <w:pPr>
              <w:jc w:val="right"/>
              <w:rPr>
                <w:rFonts w:cs="Arial"/>
                <w:color w:val="000000"/>
                <w:sz w:val="22"/>
                <w:szCs w:val="24"/>
                <w:lang w:val="en-US"/>
              </w:rPr>
            </w:pPr>
            <w:r w:rsidRPr="00DB41AE">
              <w:rPr>
                <w:rFonts w:cs="Arial"/>
                <w:color w:val="000000"/>
                <w:sz w:val="22"/>
                <w:szCs w:val="24"/>
                <w:lang w:val="en-US"/>
              </w:rPr>
              <w:t>14</w:t>
            </w:r>
            <w:r w:rsidR="00DB41AE" w:rsidRPr="00DB41AE">
              <w:rPr>
                <w:rFonts w:cs="Arial"/>
                <w:color w:val="000000"/>
                <w:sz w:val="22"/>
                <w:szCs w:val="24"/>
                <w:lang w:val="en-US"/>
              </w:rPr>
              <w:t>,</w:t>
            </w:r>
            <w:r w:rsidRPr="00DB41AE">
              <w:rPr>
                <w:rFonts w:cs="Arial"/>
                <w:color w:val="000000"/>
                <w:sz w:val="22"/>
                <w:szCs w:val="24"/>
                <w:lang w:val="en-US"/>
              </w:rPr>
              <w:t>98</w:t>
            </w:r>
            <w:r w:rsidR="003A6321" w:rsidRPr="00DB41AE">
              <w:rPr>
                <w:rFonts w:cs="Arial"/>
                <w:color w:val="000000"/>
                <w:sz w:val="22"/>
                <w:szCs w:val="24"/>
                <w:lang w:val="en-US"/>
              </w:rPr>
              <w:t>%</w:t>
            </w:r>
          </w:p>
        </w:tc>
        <w:tc>
          <w:tcPr>
            <w:tcW w:w="1418" w:type="dxa"/>
            <w:tcBorders>
              <w:top w:val="nil"/>
              <w:left w:val="nil"/>
              <w:bottom w:val="single" w:sz="4" w:space="0" w:color="auto"/>
              <w:right w:val="single" w:sz="4" w:space="0" w:color="auto"/>
            </w:tcBorders>
            <w:shd w:val="clear" w:color="auto" w:fill="auto"/>
            <w:vAlign w:val="center"/>
          </w:tcPr>
          <w:p w:rsidR="00DB1F4F" w:rsidRPr="00DB41AE" w:rsidRDefault="001412B8" w:rsidP="00DB41AE">
            <w:pPr>
              <w:jc w:val="right"/>
              <w:rPr>
                <w:rFonts w:cs="Arial"/>
                <w:color w:val="000000"/>
                <w:sz w:val="22"/>
                <w:szCs w:val="24"/>
                <w:lang w:val="fr-CH"/>
              </w:rPr>
            </w:pPr>
            <w:r w:rsidRPr="00DB41AE">
              <w:rPr>
                <w:rFonts w:cs="Arial"/>
                <w:color w:val="000000"/>
                <w:sz w:val="22"/>
                <w:szCs w:val="24"/>
                <w:lang w:val="fr-CH"/>
              </w:rPr>
              <w:t>811</w:t>
            </w:r>
            <w:r w:rsidR="00F2749B" w:rsidRPr="00DB41AE">
              <w:rPr>
                <w:rFonts w:cs="Arial"/>
                <w:color w:val="000000"/>
                <w:sz w:val="22"/>
                <w:szCs w:val="24"/>
                <w:lang w:val="fr-CH"/>
              </w:rPr>
              <w:t xml:space="preserve"> </w:t>
            </w:r>
            <w:proofErr w:type="spellStart"/>
            <w:r w:rsidRPr="00DB41AE">
              <w:rPr>
                <w:rFonts w:cs="Arial"/>
                <w:color w:val="000000"/>
                <w:sz w:val="22"/>
                <w:szCs w:val="24"/>
                <w:lang w:val="fr-CH"/>
              </w:rPr>
              <w:t>women</w:t>
            </w:r>
            <w:proofErr w:type="spellEnd"/>
            <w:r w:rsidR="00DB1F4F" w:rsidRPr="00DB41AE">
              <w:rPr>
                <w:rFonts w:cs="Arial"/>
                <w:color w:val="000000"/>
                <w:sz w:val="22"/>
                <w:szCs w:val="24"/>
                <w:lang w:val="fr-CH"/>
              </w:rPr>
              <w:t xml:space="preserve"> </w:t>
            </w:r>
            <w:r w:rsidRPr="00DB41AE">
              <w:rPr>
                <w:rFonts w:cs="Arial"/>
                <w:color w:val="000000"/>
                <w:sz w:val="22"/>
                <w:szCs w:val="24"/>
                <w:lang w:val="fr-CH"/>
              </w:rPr>
              <w:t>=</w:t>
            </w:r>
            <w:r w:rsidR="00F2749B" w:rsidRPr="00DB41AE">
              <w:rPr>
                <w:rFonts w:cs="Arial"/>
                <w:color w:val="000000"/>
                <w:sz w:val="22"/>
                <w:szCs w:val="24"/>
                <w:lang w:val="fr-CH"/>
              </w:rPr>
              <w:t xml:space="preserve"> </w:t>
            </w:r>
            <w:r w:rsidRPr="00DB41AE">
              <w:rPr>
                <w:rFonts w:cs="Arial"/>
                <w:color w:val="000000"/>
                <w:sz w:val="22"/>
                <w:szCs w:val="24"/>
                <w:lang w:val="fr-CH"/>
              </w:rPr>
              <w:t>43</w:t>
            </w:r>
            <w:r w:rsidR="00DB41AE" w:rsidRPr="00DB41AE">
              <w:rPr>
                <w:rFonts w:cs="Arial"/>
                <w:color w:val="000000"/>
                <w:sz w:val="22"/>
                <w:szCs w:val="24"/>
                <w:lang w:val="fr-CH"/>
              </w:rPr>
              <w:t>,</w:t>
            </w:r>
            <w:r w:rsidRPr="00DB41AE">
              <w:rPr>
                <w:rFonts w:cs="Arial"/>
                <w:color w:val="000000"/>
                <w:sz w:val="22"/>
                <w:szCs w:val="24"/>
                <w:lang w:val="fr-CH"/>
              </w:rPr>
              <w:t>91%</w:t>
            </w:r>
          </w:p>
        </w:tc>
        <w:tc>
          <w:tcPr>
            <w:tcW w:w="1417" w:type="dxa"/>
            <w:tcBorders>
              <w:top w:val="nil"/>
              <w:left w:val="nil"/>
              <w:bottom w:val="single" w:sz="4" w:space="0" w:color="auto"/>
              <w:right w:val="single" w:sz="4" w:space="0" w:color="auto"/>
            </w:tcBorders>
            <w:shd w:val="clear" w:color="auto" w:fill="auto"/>
            <w:vAlign w:val="center"/>
          </w:tcPr>
          <w:p w:rsidR="00DB1F4F" w:rsidRPr="00DB41AE" w:rsidRDefault="001412B8" w:rsidP="00DB41AE">
            <w:pPr>
              <w:jc w:val="right"/>
              <w:rPr>
                <w:rFonts w:cs="Arial"/>
                <w:color w:val="000000"/>
                <w:sz w:val="22"/>
                <w:szCs w:val="24"/>
                <w:lang w:val="fr-CH"/>
              </w:rPr>
            </w:pPr>
            <w:r w:rsidRPr="00DB41AE">
              <w:rPr>
                <w:rFonts w:cs="Arial"/>
                <w:color w:val="000000"/>
                <w:sz w:val="22"/>
                <w:szCs w:val="24"/>
                <w:lang w:val="fr-CH"/>
              </w:rPr>
              <w:t>1</w:t>
            </w:r>
            <w:r w:rsidR="00DB41AE" w:rsidRPr="00DB41AE">
              <w:rPr>
                <w:rFonts w:cs="Arial"/>
                <w:color w:val="000000"/>
                <w:sz w:val="22"/>
                <w:szCs w:val="24"/>
                <w:lang w:val="fr-CH"/>
              </w:rPr>
              <w:t>,</w:t>
            </w:r>
            <w:r w:rsidRPr="00DB41AE">
              <w:rPr>
                <w:rFonts w:cs="Arial"/>
                <w:color w:val="000000"/>
                <w:sz w:val="22"/>
                <w:szCs w:val="24"/>
                <w:lang w:val="fr-CH"/>
              </w:rPr>
              <w:t>036</w:t>
            </w:r>
            <w:r w:rsidR="00F2749B" w:rsidRPr="00DB41AE">
              <w:rPr>
                <w:rFonts w:cs="Arial"/>
                <w:color w:val="000000"/>
                <w:sz w:val="22"/>
                <w:szCs w:val="24"/>
                <w:lang w:val="fr-CH"/>
              </w:rPr>
              <w:t xml:space="preserve"> </w:t>
            </w:r>
            <w:r w:rsidRPr="00DB41AE">
              <w:rPr>
                <w:rFonts w:cs="Arial"/>
                <w:color w:val="000000"/>
                <w:sz w:val="22"/>
                <w:szCs w:val="24"/>
                <w:lang w:val="fr-CH"/>
              </w:rPr>
              <w:t>men = 56</w:t>
            </w:r>
            <w:r w:rsidR="00DB41AE" w:rsidRPr="00DB41AE">
              <w:rPr>
                <w:rFonts w:cs="Arial"/>
                <w:color w:val="000000"/>
                <w:sz w:val="22"/>
                <w:szCs w:val="24"/>
                <w:lang w:val="fr-CH"/>
              </w:rPr>
              <w:t>,</w:t>
            </w:r>
            <w:r w:rsidRPr="00DB41AE">
              <w:rPr>
                <w:rFonts w:cs="Arial"/>
                <w:color w:val="000000"/>
                <w:sz w:val="22"/>
                <w:szCs w:val="24"/>
                <w:lang w:val="fr-CH"/>
              </w:rPr>
              <w:t>09%</w:t>
            </w:r>
          </w:p>
        </w:tc>
      </w:tr>
      <w:tr w:rsidR="001D0450" w:rsidRPr="00DB41AE" w:rsidTr="00DB41AE">
        <w:trPr>
          <w:trHeight w:val="680"/>
        </w:trPr>
        <w:tc>
          <w:tcPr>
            <w:tcW w:w="1413" w:type="dxa"/>
            <w:tcBorders>
              <w:top w:val="nil"/>
              <w:left w:val="single" w:sz="4" w:space="0" w:color="auto"/>
              <w:bottom w:val="single" w:sz="4" w:space="0" w:color="auto"/>
              <w:right w:val="single" w:sz="4" w:space="0" w:color="auto"/>
            </w:tcBorders>
            <w:shd w:val="clear" w:color="auto" w:fill="auto"/>
            <w:vAlign w:val="center"/>
          </w:tcPr>
          <w:p w:rsidR="001412B8" w:rsidRPr="00DB41AE" w:rsidRDefault="001412B8" w:rsidP="00DB41AE">
            <w:pPr>
              <w:jc w:val="left"/>
              <w:rPr>
                <w:rFonts w:eastAsia="Calibri" w:cs="Arial"/>
                <w:color w:val="000000"/>
                <w:sz w:val="22"/>
                <w:szCs w:val="24"/>
              </w:rPr>
            </w:pPr>
            <w:r w:rsidRPr="00DB41AE">
              <w:rPr>
                <w:rFonts w:cs="Arial"/>
                <w:color w:val="000000"/>
                <w:sz w:val="22"/>
                <w:szCs w:val="24"/>
                <w:lang w:val="en-US"/>
              </w:rPr>
              <w:t>Children</w:t>
            </w:r>
            <w:r w:rsidRPr="00DB41AE">
              <w:rPr>
                <w:rFonts w:eastAsia="Calibri" w:cs="Arial"/>
                <w:color w:val="000000"/>
                <w:sz w:val="22"/>
                <w:szCs w:val="24"/>
              </w:rPr>
              <w:t xml:space="preserve"> &lt;19</w:t>
            </w:r>
          </w:p>
        </w:tc>
        <w:tc>
          <w:tcPr>
            <w:tcW w:w="1276" w:type="dxa"/>
            <w:tcBorders>
              <w:top w:val="nil"/>
              <w:left w:val="nil"/>
              <w:bottom w:val="single" w:sz="4" w:space="0" w:color="auto"/>
              <w:right w:val="single" w:sz="4" w:space="0" w:color="auto"/>
            </w:tcBorders>
            <w:shd w:val="clear" w:color="auto" w:fill="auto"/>
            <w:vAlign w:val="center"/>
          </w:tcPr>
          <w:p w:rsidR="001412B8" w:rsidRPr="00DB41AE" w:rsidRDefault="001412B8" w:rsidP="00DB41AE">
            <w:pPr>
              <w:jc w:val="right"/>
              <w:rPr>
                <w:rFonts w:cs="Arial"/>
                <w:color w:val="000000"/>
                <w:sz w:val="22"/>
                <w:szCs w:val="24"/>
                <w:lang w:val="en-US"/>
              </w:rPr>
            </w:pPr>
          </w:p>
        </w:tc>
        <w:tc>
          <w:tcPr>
            <w:tcW w:w="1134" w:type="dxa"/>
            <w:tcBorders>
              <w:top w:val="nil"/>
              <w:left w:val="nil"/>
              <w:bottom w:val="single" w:sz="4" w:space="0" w:color="auto"/>
              <w:right w:val="single" w:sz="4" w:space="0" w:color="auto"/>
            </w:tcBorders>
            <w:shd w:val="clear" w:color="auto" w:fill="auto"/>
            <w:vAlign w:val="center"/>
          </w:tcPr>
          <w:p w:rsidR="001412B8" w:rsidRPr="00DB41AE" w:rsidRDefault="001412B8" w:rsidP="00DB41AE">
            <w:pPr>
              <w:jc w:val="right"/>
              <w:rPr>
                <w:rFonts w:cs="Arial"/>
                <w:color w:val="000000"/>
                <w:sz w:val="22"/>
                <w:szCs w:val="24"/>
                <w:lang w:val="en-US"/>
              </w:rPr>
            </w:pPr>
          </w:p>
        </w:tc>
        <w:tc>
          <w:tcPr>
            <w:tcW w:w="1275" w:type="dxa"/>
            <w:tcBorders>
              <w:top w:val="nil"/>
              <w:left w:val="nil"/>
              <w:bottom w:val="single" w:sz="4" w:space="0" w:color="auto"/>
              <w:right w:val="single" w:sz="4" w:space="0" w:color="auto"/>
            </w:tcBorders>
            <w:shd w:val="clear" w:color="auto" w:fill="auto"/>
            <w:vAlign w:val="center"/>
          </w:tcPr>
          <w:p w:rsidR="001412B8" w:rsidRPr="00DB41AE" w:rsidRDefault="001412B8" w:rsidP="00DB41AE">
            <w:pPr>
              <w:jc w:val="right"/>
              <w:rPr>
                <w:rFonts w:eastAsia="Calibri" w:cs="Arial"/>
                <w:color w:val="000000"/>
                <w:sz w:val="22"/>
                <w:szCs w:val="24"/>
              </w:rPr>
            </w:pPr>
            <w:r w:rsidRPr="00DB41AE">
              <w:rPr>
                <w:rFonts w:eastAsia="Calibri" w:cs="Arial"/>
                <w:color w:val="000000"/>
                <w:sz w:val="22"/>
                <w:szCs w:val="24"/>
              </w:rPr>
              <w:t>594</w:t>
            </w:r>
          </w:p>
        </w:tc>
        <w:tc>
          <w:tcPr>
            <w:tcW w:w="1276" w:type="dxa"/>
            <w:tcBorders>
              <w:top w:val="nil"/>
              <w:left w:val="nil"/>
              <w:bottom w:val="single" w:sz="4" w:space="0" w:color="auto"/>
              <w:right w:val="single" w:sz="4" w:space="0" w:color="auto"/>
            </w:tcBorders>
            <w:shd w:val="clear" w:color="auto" w:fill="auto"/>
            <w:vAlign w:val="center"/>
          </w:tcPr>
          <w:p w:rsidR="001412B8" w:rsidRPr="00DB41AE" w:rsidRDefault="001412B8" w:rsidP="00DB41AE">
            <w:pPr>
              <w:jc w:val="right"/>
              <w:rPr>
                <w:rFonts w:cs="Arial"/>
                <w:color w:val="000000"/>
                <w:sz w:val="22"/>
                <w:szCs w:val="24"/>
                <w:lang w:val="en-US"/>
              </w:rPr>
            </w:pPr>
            <w:r w:rsidRPr="00DB41AE">
              <w:rPr>
                <w:rFonts w:cs="Arial"/>
                <w:color w:val="000000"/>
                <w:sz w:val="22"/>
                <w:szCs w:val="24"/>
                <w:lang w:val="en-US"/>
              </w:rPr>
              <w:t>4</w:t>
            </w:r>
            <w:r w:rsidR="00DB41AE" w:rsidRPr="00DB41AE">
              <w:rPr>
                <w:rFonts w:cs="Arial"/>
                <w:color w:val="000000"/>
                <w:sz w:val="22"/>
                <w:szCs w:val="24"/>
                <w:lang w:val="en-US"/>
              </w:rPr>
              <w:t>,</w:t>
            </w:r>
            <w:r w:rsidRPr="00DB41AE">
              <w:rPr>
                <w:rFonts w:cs="Arial"/>
                <w:color w:val="000000"/>
                <w:sz w:val="22"/>
                <w:szCs w:val="24"/>
                <w:lang w:val="en-US"/>
              </w:rPr>
              <w:t>82%</w:t>
            </w:r>
          </w:p>
        </w:tc>
        <w:tc>
          <w:tcPr>
            <w:tcW w:w="1418" w:type="dxa"/>
            <w:tcBorders>
              <w:top w:val="nil"/>
              <w:left w:val="nil"/>
              <w:bottom w:val="single" w:sz="4" w:space="0" w:color="auto"/>
              <w:right w:val="single" w:sz="4" w:space="0" w:color="auto"/>
            </w:tcBorders>
            <w:shd w:val="clear" w:color="auto" w:fill="auto"/>
            <w:vAlign w:val="center"/>
          </w:tcPr>
          <w:p w:rsidR="00DB1F4F" w:rsidRPr="00DB41AE" w:rsidRDefault="001412B8" w:rsidP="00DB41AE">
            <w:pPr>
              <w:jc w:val="right"/>
              <w:rPr>
                <w:rFonts w:eastAsia="Calibri" w:cs="Arial"/>
                <w:color w:val="000000"/>
                <w:sz w:val="22"/>
                <w:szCs w:val="24"/>
              </w:rPr>
            </w:pPr>
            <w:r w:rsidRPr="00DB41AE">
              <w:rPr>
                <w:rFonts w:eastAsia="Calibri" w:cs="Arial"/>
                <w:color w:val="000000"/>
                <w:sz w:val="22"/>
                <w:szCs w:val="24"/>
              </w:rPr>
              <w:t>226 girls =</w:t>
            </w:r>
            <w:r w:rsidR="00DB1F4F" w:rsidRPr="00DB41AE">
              <w:rPr>
                <w:rFonts w:eastAsia="Calibri" w:cs="Arial"/>
                <w:color w:val="000000"/>
                <w:sz w:val="22"/>
                <w:szCs w:val="24"/>
              </w:rPr>
              <w:t xml:space="preserve"> </w:t>
            </w:r>
          </w:p>
          <w:p w:rsidR="001412B8" w:rsidRPr="00DB41AE" w:rsidRDefault="001412B8" w:rsidP="00DB41AE">
            <w:pPr>
              <w:jc w:val="right"/>
              <w:rPr>
                <w:rFonts w:eastAsia="Calibri" w:cs="Arial"/>
                <w:color w:val="000000"/>
                <w:sz w:val="22"/>
                <w:szCs w:val="24"/>
              </w:rPr>
            </w:pPr>
            <w:r w:rsidRPr="00DB41AE">
              <w:rPr>
                <w:rFonts w:eastAsia="Calibri" w:cs="Arial"/>
                <w:color w:val="000000"/>
                <w:sz w:val="22"/>
                <w:szCs w:val="24"/>
              </w:rPr>
              <w:t>38</w:t>
            </w:r>
            <w:r w:rsidR="00DB41AE" w:rsidRPr="00DB41AE">
              <w:rPr>
                <w:rFonts w:eastAsia="Calibri" w:cs="Arial"/>
                <w:color w:val="000000"/>
                <w:sz w:val="22"/>
                <w:szCs w:val="24"/>
              </w:rPr>
              <w:t>,</w:t>
            </w:r>
            <w:r w:rsidRPr="00DB41AE">
              <w:rPr>
                <w:rFonts w:eastAsia="Calibri" w:cs="Arial"/>
                <w:color w:val="000000"/>
                <w:sz w:val="22"/>
                <w:szCs w:val="24"/>
              </w:rPr>
              <w:t>47%</w:t>
            </w:r>
          </w:p>
        </w:tc>
        <w:tc>
          <w:tcPr>
            <w:tcW w:w="1417" w:type="dxa"/>
            <w:tcBorders>
              <w:top w:val="nil"/>
              <w:left w:val="nil"/>
              <w:bottom w:val="single" w:sz="4" w:space="0" w:color="auto"/>
              <w:right w:val="single" w:sz="4" w:space="0" w:color="auto"/>
            </w:tcBorders>
            <w:shd w:val="clear" w:color="auto" w:fill="auto"/>
            <w:vAlign w:val="center"/>
          </w:tcPr>
          <w:p w:rsidR="00DB1F4F" w:rsidRPr="00DB41AE" w:rsidRDefault="001412B8" w:rsidP="00DB41AE">
            <w:pPr>
              <w:jc w:val="right"/>
              <w:rPr>
                <w:rFonts w:eastAsia="Calibri" w:cs="Arial"/>
                <w:color w:val="000000"/>
                <w:sz w:val="22"/>
                <w:szCs w:val="24"/>
              </w:rPr>
            </w:pPr>
            <w:r w:rsidRPr="00DB41AE">
              <w:rPr>
                <w:rFonts w:eastAsia="Calibri" w:cs="Arial"/>
                <w:color w:val="000000"/>
                <w:sz w:val="22"/>
                <w:szCs w:val="24"/>
              </w:rPr>
              <w:t>368 boys</w:t>
            </w:r>
            <w:r w:rsidR="00F2749B" w:rsidRPr="00DB41AE">
              <w:rPr>
                <w:rFonts w:eastAsia="Calibri" w:cs="Arial"/>
                <w:color w:val="000000"/>
                <w:sz w:val="22"/>
                <w:szCs w:val="24"/>
              </w:rPr>
              <w:t xml:space="preserve"> </w:t>
            </w:r>
            <w:r w:rsidRPr="00DB41AE">
              <w:rPr>
                <w:rFonts w:eastAsia="Calibri" w:cs="Arial"/>
                <w:color w:val="000000"/>
                <w:sz w:val="22"/>
                <w:szCs w:val="24"/>
              </w:rPr>
              <w:t xml:space="preserve">= </w:t>
            </w:r>
          </w:p>
          <w:p w:rsidR="001412B8" w:rsidRPr="00DB41AE" w:rsidRDefault="001412B8" w:rsidP="00DB41AE">
            <w:pPr>
              <w:jc w:val="right"/>
              <w:rPr>
                <w:rFonts w:eastAsia="Calibri" w:cs="Arial"/>
                <w:color w:val="000000"/>
                <w:sz w:val="22"/>
                <w:szCs w:val="24"/>
              </w:rPr>
            </w:pPr>
            <w:r w:rsidRPr="00DB41AE">
              <w:rPr>
                <w:rFonts w:eastAsia="Calibri" w:cs="Arial"/>
                <w:color w:val="000000"/>
                <w:sz w:val="22"/>
                <w:szCs w:val="24"/>
              </w:rPr>
              <w:t>61</w:t>
            </w:r>
            <w:r w:rsidR="00DB41AE" w:rsidRPr="00DB41AE">
              <w:rPr>
                <w:rFonts w:eastAsia="Calibri" w:cs="Arial"/>
                <w:color w:val="000000"/>
                <w:sz w:val="22"/>
                <w:szCs w:val="24"/>
              </w:rPr>
              <w:t>,</w:t>
            </w:r>
            <w:r w:rsidRPr="00DB41AE">
              <w:rPr>
                <w:rFonts w:eastAsia="Calibri" w:cs="Arial"/>
                <w:color w:val="000000"/>
                <w:sz w:val="22"/>
                <w:szCs w:val="24"/>
              </w:rPr>
              <w:t>95%</w:t>
            </w:r>
          </w:p>
        </w:tc>
      </w:tr>
    </w:tbl>
    <w:p w:rsidR="00891456" w:rsidRPr="00B92503" w:rsidRDefault="00F37936" w:rsidP="00B92503">
      <w:pPr>
        <w:rPr>
          <w:rFonts w:cs="Arial"/>
          <w:szCs w:val="24"/>
        </w:rPr>
      </w:pPr>
      <w:r w:rsidRPr="00B92503">
        <w:rPr>
          <w:rFonts w:cs="Arial"/>
          <w:szCs w:val="24"/>
        </w:rPr>
        <w:t xml:space="preserve">Source: first state report 2014 </w:t>
      </w:r>
    </w:p>
    <w:p w:rsidR="00DB41AE" w:rsidRDefault="00DB41AE" w:rsidP="00B92503">
      <w:pPr>
        <w:rPr>
          <w:rFonts w:cs="Arial"/>
          <w:szCs w:val="24"/>
        </w:rPr>
      </w:pPr>
    </w:p>
    <w:p w:rsidR="0001301D" w:rsidRDefault="00F37936" w:rsidP="00B92503">
      <w:pPr>
        <w:rPr>
          <w:rFonts w:cs="Arial"/>
          <w:szCs w:val="24"/>
        </w:rPr>
      </w:pPr>
      <w:r w:rsidRPr="00B92503">
        <w:rPr>
          <w:rFonts w:cs="Arial"/>
          <w:szCs w:val="24"/>
        </w:rPr>
        <w:t xml:space="preserve">In 2011 a total of </w:t>
      </w:r>
      <w:r w:rsidR="00843D27" w:rsidRPr="00B92503">
        <w:rPr>
          <w:rFonts w:cs="Arial"/>
          <w:szCs w:val="24"/>
        </w:rPr>
        <w:t>3,995 disabled people (32</w:t>
      </w:r>
      <w:r w:rsidR="00DB41AE">
        <w:rPr>
          <w:rFonts w:cs="Arial"/>
          <w:szCs w:val="24"/>
        </w:rPr>
        <w:t>,</w:t>
      </w:r>
      <w:r w:rsidR="00843D27" w:rsidRPr="00B92503">
        <w:rPr>
          <w:rFonts w:cs="Arial"/>
          <w:szCs w:val="24"/>
        </w:rPr>
        <w:t xml:space="preserve">41%) benefited from long-term care insurance, </w:t>
      </w:r>
      <w:r w:rsidRPr="00B92503">
        <w:rPr>
          <w:rFonts w:cs="Arial"/>
          <w:szCs w:val="24"/>
        </w:rPr>
        <w:t>a</w:t>
      </w:r>
      <w:r w:rsidR="00843D27" w:rsidRPr="00B92503">
        <w:rPr>
          <w:rFonts w:cs="Arial"/>
          <w:szCs w:val="24"/>
        </w:rPr>
        <w:t>mong the</w:t>
      </w:r>
      <w:r w:rsidRPr="00B92503">
        <w:rPr>
          <w:rFonts w:cs="Arial"/>
          <w:szCs w:val="24"/>
        </w:rPr>
        <w:t>se</w:t>
      </w:r>
      <w:r w:rsidR="00843D27" w:rsidRPr="00B92503">
        <w:rPr>
          <w:rFonts w:cs="Arial"/>
          <w:szCs w:val="24"/>
        </w:rPr>
        <w:t xml:space="preserve"> disabled beneficiaries are 594 children under 19 years of age (226 girls and 368 boys) and 1,847 </w:t>
      </w:r>
      <w:r w:rsidR="003E0AC2" w:rsidRPr="00B92503">
        <w:rPr>
          <w:rFonts w:cs="Arial"/>
          <w:szCs w:val="24"/>
        </w:rPr>
        <w:t xml:space="preserve">adult </w:t>
      </w:r>
      <w:r w:rsidR="00843D27" w:rsidRPr="00B92503">
        <w:rPr>
          <w:rFonts w:cs="Arial"/>
          <w:szCs w:val="24"/>
        </w:rPr>
        <w:t>beneficiaries (811 women and 1,036 men) under 65 years of age.</w:t>
      </w:r>
    </w:p>
    <w:p w:rsidR="00DB41AE" w:rsidRPr="00B92503" w:rsidRDefault="00DB41AE" w:rsidP="00B92503">
      <w:pPr>
        <w:rPr>
          <w:rFonts w:cs="Arial"/>
          <w:szCs w:val="24"/>
        </w:rPr>
      </w:pPr>
    </w:p>
    <w:p w:rsidR="002C7334" w:rsidRDefault="0001301D" w:rsidP="00B92503">
      <w:pPr>
        <w:rPr>
          <w:rFonts w:cs="Arial"/>
          <w:szCs w:val="24"/>
        </w:rPr>
      </w:pPr>
      <w:r w:rsidRPr="00B92503">
        <w:rPr>
          <w:rFonts w:cs="Arial"/>
          <w:szCs w:val="24"/>
        </w:rPr>
        <w:t>The first shadow report (2016)</w:t>
      </w:r>
      <w:r w:rsidR="008A118D" w:rsidRPr="00B92503">
        <w:rPr>
          <w:rStyle w:val="FootnoteReference"/>
          <w:rFonts w:cs="Arial"/>
          <w:sz w:val="24"/>
          <w:szCs w:val="24"/>
        </w:rPr>
        <w:footnoteReference w:id="20"/>
      </w:r>
      <w:r w:rsidRPr="00B92503">
        <w:rPr>
          <w:rFonts w:cs="Arial"/>
          <w:szCs w:val="24"/>
        </w:rPr>
        <w:t xml:space="preserve"> deplores that to some extent, there is still a “</w:t>
      </w:r>
      <w:r w:rsidRPr="00B92503">
        <w:rPr>
          <w:rFonts w:cs="Arial"/>
          <w:i/>
          <w:szCs w:val="24"/>
        </w:rPr>
        <w:t>parallel world</w:t>
      </w:r>
      <w:r w:rsidRPr="00B92503">
        <w:rPr>
          <w:rFonts w:cs="Arial"/>
          <w:szCs w:val="24"/>
        </w:rPr>
        <w:t>” for persons with disabilities</w:t>
      </w:r>
      <w:r w:rsidR="007F3CA1" w:rsidRPr="00B92503">
        <w:rPr>
          <w:rFonts w:cs="Arial"/>
          <w:szCs w:val="24"/>
        </w:rPr>
        <w:t xml:space="preserve">, </w:t>
      </w:r>
      <w:r w:rsidRPr="00B92503">
        <w:rPr>
          <w:rFonts w:cs="Arial"/>
          <w:szCs w:val="24"/>
        </w:rPr>
        <w:t>mostly State funded or co-funded.</w:t>
      </w:r>
      <w:r w:rsidR="00936BBE" w:rsidRPr="00B92503">
        <w:rPr>
          <w:rFonts w:cs="Arial"/>
          <w:szCs w:val="24"/>
        </w:rPr>
        <w:t xml:space="preserve"> The shadow report claims that, many persons with disabilities still live with their parents, because there are no better options for them. </w:t>
      </w:r>
      <w:r w:rsidR="008A118D" w:rsidRPr="00B92503">
        <w:rPr>
          <w:rFonts w:cs="Arial"/>
          <w:szCs w:val="24"/>
        </w:rPr>
        <w:t xml:space="preserve">The </w:t>
      </w:r>
      <w:r w:rsidR="007F3CA1" w:rsidRPr="00B92503">
        <w:rPr>
          <w:rFonts w:cs="Arial"/>
          <w:szCs w:val="24"/>
        </w:rPr>
        <w:t xml:space="preserve">shadow </w:t>
      </w:r>
      <w:r w:rsidR="008A118D" w:rsidRPr="00B92503">
        <w:rPr>
          <w:rFonts w:cs="Arial"/>
          <w:szCs w:val="24"/>
        </w:rPr>
        <w:t>report r</w:t>
      </w:r>
      <w:r w:rsidR="00936BBE" w:rsidRPr="00B92503">
        <w:rPr>
          <w:rFonts w:cs="Arial"/>
          <w:szCs w:val="24"/>
        </w:rPr>
        <w:t xml:space="preserve">ecognises, however, that no </w:t>
      </w:r>
      <w:r w:rsidR="00936BBE" w:rsidRPr="00B92503">
        <w:rPr>
          <w:rFonts w:cs="Arial"/>
          <w:szCs w:val="24"/>
        </w:rPr>
        <w:lastRenderedPageBreak/>
        <w:t xml:space="preserve">reliable data are available on this </w:t>
      </w:r>
      <w:r w:rsidR="007F3CA1" w:rsidRPr="00B92503">
        <w:rPr>
          <w:rFonts w:cs="Arial"/>
          <w:szCs w:val="24"/>
        </w:rPr>
        <w:t xml:space="preserve">topic </w:t>
      </w:r>
      <w:r w:rsidR="00936BBE" w:rsidRPr="00B92503">
        <w:rPr>
          <w:rFonts w:cs="Arial"/>
          <w:szCs w:val="24"/>
        </w:rPr>
        <w:t>and refers to interview data (</w:t>
      </w:r>
      <w:r w:rsidR="007F3CA1" w:rsidRPr="00B92503">
        <w:rPr>
          <w:rFonts w:cs="Arial"/>
          <w:szCs w:val="24"/>
        </w:rPr>
        <w:t>“</w:t>
      </w:r>
      <w:r w:rsidR="00936BBE" w:rsidRPr="00B92503">
        <w:rPr>
          <w:rFonts w:cs="Arial"/>
          <w:i/>
          <w:szCs w:val="24"/>
        </w:rPr>
        <w:t>There was no data available, but about a third of adults with disabilities interviewed for this report lived with their parents or parent</w:t>
      </w:r>
      <w:r w:rsidR="007F3CA1" w:rsidRPr="00B92503">
        <w:rPr>
          <w:rFonts w:cs="Arial"/>
          <w:szCs w:val="24"/>
        </w:rPr>
        <w:t>”, p.</w:t>
      </w:r>
      <w:r w:rsidR="003C2C1E" w:rsidRPr="00B92503">
        <w:rPr>
          <w:rFonts w:cs="Arial"/>
          <w:szCs w:val="24"/>
        </w:rPr>
        <w:t xml:space="preserve"> </w:t>
      </w:r>
      <w:r w:rsidR="007F3CA1" w:rsidRPr="00B92503">
        <w:rPr>
          <w:rFonts w:cs="Arial"/>
          <w:szCs w:val="24"/>
        </w:rPr>
        <w:t>29</w:t>
      </w:r>
      <w:r w:rsidR="00936BBE" w:rsidRPr="00B92503">
        <w:rPr>
          <w:rFonts w:cs="Arial"/>
          <w:szCs w:val="24"/>
        </w:rPr>
        <w:t>)</w:t>
      </w:r>
      <w:r w:rsidRPr="00B92503">
        <w:rPr>
          <w:rFonts w:cs="Arial"/>
          <w:szCs w:val="24"/>
        </w:rPr>
        <w:t>.</w:t>
      </w:r>
      <w:r w:rsidR="00BF1E5B" w:rsidRPr="00B92503">
        <w:rPr>
          <w:rFonts w:cs="Arial"/>
          <w:szCs w:val="24"/>
        </w:rPr>
        <w:t xml:space="preserve"> </w:t>
      </w:r>
    </w:p>
    <w:p w:rsidR="00155052" w:rsidRPr="00B92503" w:rsidRDefault="00155052" w:rsidP="00B92503">
      <w:pPr>
        <w:rPr>
          <w:rFonts w:cs="Arial"/>
          <w:szCs w:val="24"/>
        </w:rPr>
      </w:pPr>
    </w:p>
    <w:p w:rsidR="00BF1E5B" w:rsidRPr="00B92503" w:rsidRDefault="0057314F" w:rsidP="00B92503">
      <w:pPr>
        <w:rPr>
          <w:rFonts w:cs="Arial"/>
          <w:szCs w:val="24"/>
        </w:rPr>
      </w:pPr>
      <w:r w:rsidRPr="00B92503">
        <w:rPr>
          <w:rFonts w:cs="Arial"/>
          <w:szCs w:val="24"/>
        </w:rPr>
        <w:t>The Committee on the Rights of Persons with Disabilities (2017)</w:t>
      </w:r>
      <w:r w:rsidRPr="00B92503">
        <w:rPr>
          <w:rStyle w:val="FootnoteReference"/>
          <w:rFonts w:cs="Arial"/>
          <w:sz w:val="24"/>
          <w:szCs w:val="24"/>
        </w:rPr>
        <w:footnoteReference w:id="21"/>
      </w:r>
      <w:r w:rsidRPr="00B92503">
        <w:rPr>
          <w:rFonts w:cs="Arial"/>
          <w:szCs w:val="24"/>
        </w:rPr>
        <w:t xml:space="preserve"> expresses in their Concluding observations on the initial report of Luxembourg concerns </w:t>
      </w:r>
      <w:r w:rsidR="00BF1E5B" w:rsidRPr="00B92503">
        <w:rPr>
          <w:rFonts w:cs="Arial"/>
          <w:szCs w:val="24"/>
        </w:rPr>
        <w:t xml:space="preserve">about: </w:t>
      </w:r>
    </w:p>
    <w:p w:rsidR="00155052" w:rsidRDefault="00155052" w:rsidP="00B92503">
      <w:pPr>
        <w:ind w:left="397" w:hanging="397"/>
        <w:rPr>
          <w:rFonts w:cs="Arial"/>
          <w:szCs w:val="24"/>
        </w:rPr>
      </w:pPr>
    </w:p>
    <w:p w:rsidR="00BF1E5B" w:rsidRPr="00B92503" w:rsidRDefault="00BF1E5B" w:rsidP="00155052">
      <w:pPr>
        <w:ind w:left="567" w:hanging="567"/>
        <w:rPr>
          <w:rFonts w:cs="Arial"/>
          <w:szCs w:val="24"/>
        </w:rPr>
      </w:pPr>
      <w:r w:rsidRPr="00B92503">
        <w:rPr>
          <w:rFonts w:cs="Arial"/>
          <w:szCs w:val="24"/>
        </w:rPr>
        <w:t>(a)</w:t>
      </w:r>
      <w:r w:rsidR="00920BA0" w:rsidRPr="00B92503">
        <w:rPr>
          <w:rFonts w:cs="Arial"/>
          <w:szCs w:val="24"/>
        </w:rPr>
        <w:t xml:space="preserve"> </w:t>
      </w:r>
      <w:r w:rsidR="00155052">
        <w:rPr>
          <w:rFonts w:cs="Arial"/>
          <w:szCs w:val="24"/>
        </w:rPr>
        <w:tab/>
      </w:r>
      <w:r w:rsidR="00920BA0" w:rsidRPr="00B92503">
        <w:rPr>
          <w:rFonts w:cs="Arial"/>
          <w:szCs w:val="24"/>
        </w:rPr>
        <w:t>T</w:t>
      </w:r>
      <w:r w:rsidRPr="00B92503">
        <w:rPr>
          <w:rFonts w:cs="Arial"/>
          <w:szCs w:val="24"/>
        </w:rPr>
        <w:t>he reform o</w:t>
      </w:r>
      <w:r w:rsidR="00ED38C4" w:rsidRPr="00B92503">
        <w:rPr>
          <w:rFonts w:cs="Arial"/>
          <w:szCs w:val="24"/>
        </w:rPr>
        <w:t>f</w:t>
      </w:r>
      <w:r w:rsidRPr="00B92503">
        <w:rPr>
          <w:rFonts w:cs="Arial"/>
          <w:szCs w:val="24"/>
        </w:rPr>
        <w:t xml:space="preserve"> </w:t>
      </w:r>
      <w:r w:rsidR="00ED38C4" w:rsidRPr="00B92503">
        <w:rPr>
          <w:rFonts w:cs="Arial"/>
          <w:szCs w:val="24"/>
        </w:rPr>
        <w:t>the long-time care assurance act</w:t>
      </w:r>
      <w:r w:rsidRPr="00B92503">
        <w:rPr>
          <w:rFonts w:cs="Arial"/>
          <w:szCs w:val="24"/>
        </w:rPr>
        <w:t xml:space="preserve">, which continue to curtail the right to independent living by setting limits and controls on persons with disabilities; </w:t>
      </w:r>
    </w:p>
    <w:p w:rsidR="00BF1E5B" w:rsidRPr="00B92503" w:rsidRDefault="00BF1E5B" w:rsidP="00155052">
      <w:pPr>
        <w:ind w:left="567" w:hanging="567"/>
        <w:rPr>
          <w:rFonts w:cs="Arial"/>
          <w:szCs w:val="24"/>
        </w:rPr>
      </w:pPr>
      <w:r w:rsidRPr="00B92503">
        <w:rPr>
          <w:rFonts w:cs="Arial"/>
          <w:szCs w:val="24"/>
        </w:rPr>
        <w:t>(b)</w:t>
      </w:r>
      <w:r w:rsidR="00920BA0" w:rsidRPr="00B92503">
        <w:rPr>
          <w:rFonts w:cs="Arial"/>
          <w:szCs w:val="24"/>
        </w:rPr>
        <w:t xml:space="preserve"> </w:t>
      </w:r>
      <w:r w:rsidR="00155052">
        <w:rPr>
          <w:rFonts w:cs="Arial"/>
          <w:szCs w:val="24"/>
        </w:rPr>
        <w:tab/>
      </w:r>
      <w:r w:rsidRPr="00B92503">
        <w:rPr>
          <w:rFonts w:cs="Arial"/>
          <w:szCs w:val="24"/>
        </w:rPr>
        <w:t xml:space="preserve">The lack of an action plan for the deinstitutionalization of persons with disabilities with a specific timeline and appropriate funding; </w:t>
      </w:r>
    </w:p>
    <w:p w:rsidR="008A118D" w:rsidRDefault="00BF1E5B" w:rsidP="00155052">
      <w:pPr>
        <w:ind w:left="567" w:hanging="567"/>
        <w:rPr>
          <w:rFonts w:cs="Arial"/>
          <w:szCs w:val="24"/>
        </w:rPr>
      </w:pPr>
      <w:r w:rsidRPr="00B92503">
        <w:rPr>
          <w:rFonts w:cs="Arial"/>
          <w:szCs w:val="24"/>
        </w:rPr>
        <w:t>(c)</w:t>
      </w:r>
      <w:r w:rsidR="007F3CA1" w:rsidRPr="00B92503">
        <w:rPr>
          <w:rFonts w:cs="Arial"/>
          <w:szCs w:val="24"/>
        </w:rPr>
        <w:t xml:space="preserve"> </w:t>
      </w:r>
      <w:r w:rsidR="00155052">
        <w:rPr>
          <w:rFonts w:cs="Arial"/>
          <w:szCs w:val="24"/>
        </w:rPr>
        <w:tab/>
      </w:r>
      <w:r w:rsidRPr="00B92503">
        <w:rPr>
          <w:rFonts w:cs="Arial"/>
          <w:szCs w:val="24"/>
        </w:rPr>
        <w:t xml:space="preserve">The absence of a clear strategy to promote and ensure the transition to full independent living for all persons with disabilities within the community, including with support of a personal assistant, and that </w:t>
      </w:r>
      <w:proofErr w:type="gramStart"/>
      <w:r w:rsidRPr="00B92503">
        <w:rPr>
          <w:rFonts w:cs="Arial"/>
          <w:szCs w:val="24"/>
        </w:rPr>
        <w:t>future plans</w:t>
      </w:r>
      <w:proofErr w:type="gramEnd"/>
      <w:r w:rsidRPr="00B92503">
        <w:rPr>
          <w:rFonts w:cs="Arial"/>
          <w:szCs w:val="24"/>
        </w:rPr>
        <w:t xml:space="preserve"> and construction projects still contain elements that limit the rights of persons with disabilities under article 19</w:t>
      </w:r>
      <w:r w:rsidR="0057314F" w:rsidRPr="00B92503">
        <w:rPr>
          <w:rFonts w:cs="Arial"/>
          <w:szCs w:val="24"/>
        </w:rPr>
        <w:t xml:space="preserve">. </w:t>
      </w:r>
    </w:p>
    <w:p w:rsidR="00155052" w:rsidRPr="00B92503" w:rsidRDefault="00155052" w:rsidP="00155052">
      <w:pPr>
        <w:ind w:left="567" w:hanging="567"/>
        <w:rPr>
          <w:rFonts w:cs="Arial"/>
          <w:szCs w:val="24"/>
        </w:rPr>
      </w:pPr>
    </w:p>
    <w:p w:rsidR="008375AC" w:rsidRPr="00B92503" w:rsidRDefault="0039297C" w:rsidP="00B92503">
      <w:pPr>
        <w:rPr>
          <w:rFonts w:cs="Arial"/>
          <w:szCs w:val="24"/>
        </w:rPr>
      </w:pPr>
      <w:r w:rsidRPr="00B92503">
        <w:rPr>
          <w:rFonts w:cs="Arial"/>
          <w:szCs w:val="24"/>
        </w:rPr>
        <w:t xml:space="preserve">The </w:t>
      </w:r>
      <w:r w:rsidR="008375AC" w:rsidRPr="00B92503">
        <w:rPr>
          <w:rFonts w:cs="Arial"/>
          <w:szCs w:val="24"/>
        </w:rPr>
        <w:t xml:space="preserve">national </w:t>
      </w:r>
      <w:r w:rsidRPr="00B92503">
        <w:rPr>
          <w:rFonts w:cs="Arial"/>
          <w:szCs w:val="24"/>
        </w:rPr>
        <w:t>working group currently preparing the second national action plan (2018-2019)</w:t>
      </w:r>
      <w:r w:rsidRPr="00B92503">
        <w:rPr>
          <w:rStyle w:val="FootnoteReference"/>
          <w:rFonts w:cs="Arial"/>
          <w:sz w:val="24"/>
          <w:szCs w:val="24"/>
        </w:rPr>
        <w:footnoteReference w:id="22"/>
      </w:r>
      <w:r w:rsidRPr="00B92503">
        <w:rPr>
          <w:rFonts w:cs="Arial"/>
          <w:szCs w:val="24"/>
        </w:rPr>
        <w:t xml:space="preserve"> </w:t>
      </w:r>
      <w:r w:rsidR="00920BA0" w:rsidRPr="00B92503">
        <w:rPr>
          <w:rFonts w:cs="Arial"/>
          <w:szCs w:val="24"/>
        </w:rPr>
        <w:t>i</w:t>
      </w:r>
      <w:r w:rsidRPr="00B92503">
        <w:rPr>
          <w:rFonts w:cs="Arial"/>
          <w:szCs w:val="24"/>
        </w:rPr>
        <w:t>dentifies as current priorities</w:t>
      </w:r>
      <w:r w:rsidR="008375AC" w:rsidRPr="00B92503">
        <w:rPr>
          <w:rFonts w:cs="Arial"/>
          <w:szCs w:val="24"/>
        </w:rPr>
        <w:t>:</w:t>
      </w:r>
      <w:r w:rsidRPr="00B92503">
        <w:rPr>
          <w:rFonts w:cs="Arial"/>
          <w:szCs w:val="24"/>
        </w:rPr>
        <w:t xml:space="preserve"> </w:t>
      </w:r>
      <w:r w:rsidR="00920BA0" w:rsidRPr="00B92503">
        <w:rPr>
          <w:rFonts w:cs="Arial"/>
          <w:szCs w:val="24"/>
        </w:rPr>
        <w:t xml:space="preserve">the </w:t>
      </w:r>
      <w:r w:rsidRPr="00B92503">
        <w:rPr>
          <w:rFonts w:cs="Arial"/>
          <w:szCs w:val="24"/>
        </w:rPr>
        <w:t>implementation of personal assistance</w:t>
      </w:r>
      <w:r w:rsidR="00920BA0" w:rsidRPr="00B92503">
        <w:rPr>
          <w:rFonts w:cs="Arial"/>
          <w:szCs w:val="24"/>
        </w:rPr>
        <w:t xml:space="preserve">, </w:t>
      </w:r>
      <w:r w:rsidRPr="00B92503">
        <w:rPr>
          <w:rFonts w:cs="Arial"/>
          <w:szCs w:val="24"/>
        </w:rPr>
        <w:t>the introduction of a general personal budget</w:t>
      </w:r>
      <w:r w:rsidR="00920BA0" w:rsidRPr="00B92503">
        <w:rPr>
          <w:rFonts w:cs="Arial"/>
          <w:szCs w:val="24"/>
        </w:rPr>
        <w:t>,</w:t>
      </w:r>
      <w:r w:rsidRPr="00B92503">
        <w:rPr>
          <w:rFonts w:cs="Arial"/>
          <w:szCs w:val="24"/>
        </w:rPr>
        <w:t xml:space="preserve"> and the creation of new housing structures that allow and encourage more autonomy and self-determination</w:t>
      </w:r>
      <w:r w:rsidR="00920BA0" w:rsidRPr="00B92503">
        <w:rPr>
          <w:rFonts w:cs="Arial"/>
          <w:szCs w:val="24"/>
        </w:rPr>
        <w:t xml:space="preserve"> (independent living)</w:t>
      </w:r>
      <w:r w:rsidRPr="00B92503">
        <w:rPr>
          <w:rFonts w:cs="Arial"/>
          <w:szCs w:val="24"/>
        </w:rPr>
        <w:t>.</w:t>
      </w:r>
    </w:p>
    <w:p w:rsidR="003C2C1E" w:rsidRPr="00B92503" w:rsidRDefault="003C2C1E" w:rsidP="00B92503">
      <w:pPr>
        <w:rPr>
          <w:rFonts w:cs="Arial"/>
          <w:szCs w:val="24"/>
        </w:rPr>
      </w:pPr>
    </w:p>
    <w:p w:rsidR="00883A73" w:rsidRPr="00B92503" w:rsidRDefault="008375AC" w:rsidP="00B92503">
      <w:pPr>
        <w:rPr>
          <w:rFonts w:cs="Arial"/>
          <w:szCs w:val="24"/>
        </w:rPr>
      </w:pPr>
      <w:r w:rsidRPr="00B92503">
        <w:rPr>
          <w:rFonts w:cs="Arial"/>
          <w:szCs w:val="24"/>
        </w:rPr>
        <w:t xml:space="preserve">As a result of earlier </w:t>
      </w:r>
      <w:r w:rsidR="003E0AC2" w:rsidRPr="00B92503">
        <w:rPr>
          <w:rFonts w:cs="Arial"/>
          <w:szCs w:val="24"/>
        </w:rPr>
        <w:t xml:space="preserve">disability related </w:t>
      </w:r>
      <w:r w:rsidRPr="00B92503">
        <w:rPr>
          <w:rFonts w:cs="Arial"/>
          <w:szCs w:val="24"/>
        </w:rPr>
        <w:t>legislation, there is still today</w:t>
      </w:r>
      <w:r w:rsidR="00893C38" w:rsidRPr="00B92503">
        <w:rPr>
          <w:rFonts w:cs="Arial"/>
          <w:szCs w:val="24"/>
        </w:rPr>
        <w:t xml:space="preserve"> a budget for people who are completely blind, people with spina bifida and people with communication difficulties due to severe hearing problems, dysarthria and those who have undergone laryngectomy who receive a lump sum cash benefit once the diagnosis is made by a specialist doctor approved by the assessment and referral team of the national care assurance</w:t>
      </w:r>
      <w:r w:rsidR="00155052">
        <w:rPr>
          <w:rFonts w:cs="Arial"/>
          <w:szCs w:val="24"/>
        </w:rPr>
        <w:t>.</w:t>
      </w:r>
      <w:r w:rsidR="003E0AC2" w:rsidRPr="00B92503">
        <w:rPr>
          <w:rStyle w:val="FootnoteReference"/>
          <w:rFonts w:cs="Arial"/>
          <w:sz w:val="24"/>
          <w:szCs w:val="24"/>
        </w:rPr>
        <w:footnoteReference w:id="23"/>
      </w:r>
      <w:r w:rsidR="00893C38" w:rsidRPr="00B92503">
        <w:rPr>
          <w:rFonts w:cs="Arial"/>
          <w:szCs w:val="24"/>
        </w:rPr>
        <w:t xml:space="preserve"> </w:t>
      </w:r>
      <w:r w:rsidR="003E0AC2" w:rsidRPr="00B92503">
        <w:rPr>
          <w:rFonts w:cs="Arial"/>
          <w:szCs w:val="24"/>
        </w:rPr>
        <w:t>P</w:t>
      </w:r>
      <w:r w:rsidR="00893C38" w:rsidRPr="00B92503">
        <w:rPr>
          <w:rFonts w:cs="Arial"/>
          <w:szCs w:val="24"/>
        </w:rPr>
        <w:t>eople with other disabilities have not yet been granted access to this benefit.</w:t>
      </w:r>
    </w:p>
    <w:p w:rsidR="003C2C1E" w:rsidRPr="00B92503" w:rsidRDefault="003C2C1E" w:rsidP="00B92503">
      <w:pPr>
        <w:rPr>
          <w:rFonts w:cs="Arial"/>
          <w:szCs w:val="24"/>
        </w:rPr>
      </w:pPr>
    </w:p>
    <w:p w:rsidR="008E4ACD" w:rsidRPr="00B92503" w:rsidRDefault="008E4ACD" w:rsidP="00B92503">
      <w:pPr>
        <w:pStyle w:val="Heading2"/>
        <w:rPr>
          <w:rFonts w:cs="Arial"/>
          <w:szCs w:val="24"/>
        </w:rPr>
      </w:pPr>
      <w:bookmarkStart w:id="11" w:name="_TOC_250029"/>
      <w:bookmarkStart w:id="12" w:name="_Toc529874057"/>
      <w:bookmarkStart w:id="13" w:name="_Toc7612953"/>
      <w:r w:rsidRPr="00B92503">
        <w:rPr>
          <w:rFonts w:cs="Arial"/>
          <w:szCs w:val="24"/>
        </w:rPr>
        <w:t xml:space="preserve">Numbers and proportions of disabled children and adults residing in institutional care or </w:t>
      </w:r>
      <w:r w:rsidR="00A75929" w:rsidRPr="00B92503">
        <w:rPr>
          <w:rFonts w:cs="Arial"/>
          <w:szCs w:val="24"/>
        </w:rPr>
        <w:t>community-based</w:t>
      </w:r>
      <w:r w:rsidRPr="00B92503">
        <w:rPr>
          <w:rFonts w:cs="Arial"/>
          <w:szCs w:val="24"/>
        </w:rPr>
        <w:t xml:space="preserve"> </w:t>
      </w:r>
      <w:bookmarkEnd w:id="11"/>
      <w:r w:rsidRPr="00B92503">
        <w:rPr>
          <w:rFonts w:cs="Arial"/>
          <w:szCs w:val="24"/>
        </w:rPr>
        <w:t>settings</w:t>
      </w:r>
      <w:bookmarkEnd w:id="12"/>
      <w:bookmarkEnd w:id="13"/>
    </w:p>
    <w:p w:rsidR="003C2C1E" w:rsidRPr="00B92503" w:rsidRDefault="003C2C1E" w:rsidP="00B92503">
      <w:pPr>
        <w:rPr>
          <w:rFonts w:cs="Arial"/>
          <w:szCs w:val="24"/>
          <w:lang w:bidi="en-US"/>
        </w:rPr>
      </w:pPr>
    </w:p>
    <w:p w:rsidR="00F047FF" w:rsidRPr="00B92503" w:rsidRDefault="00F047FF" w:rsidP="00B92503">
      <w:pPr>
        <w:rPr>
          <w:rFonts w:cs="Arial"/>
          <w:szCs w:val="24"/>
        </w:rPr>
      </w:pPr>
      <w:r w:rsidRPr="00B92503">
        <w:rPr>
          <w:rFonts w:cs="Arial"/>
          <w:szCs w:val="24"/>
        </w:rPr>
        <w:t xml:space="preserve">It is difficult to extract accurate figures </w:t>
      </w:r>
      <w:proofErr w:type="gramStart"/>
      <w:r w:rsidRPr="00B92503">
        <w:rPr>
          <w:rFonts w:cs="Arial"/>
          <w:szCs w:val="24"/>
        </w:rPr>
        <w:t>on the situation of</w:t>
      </w:r>
      <w:proofErr w:type="gramEnd"/>
      <w:r w:rsidRPr="00B92503">
        <w:rPr>
          <w:rFonts w:cs="Arial"/>
          <w:szCs w:val="24"/>
        </w:rPr>
        <w:t xml:space="preserve"> people with disabilities in independent housing, as there is no comprehensive definition of disability at national </w:t>
      </w:r>
      <w:r w:rsidRPr="00B92503">
        <w:rPr>
          <w:rFonts w:cs="Arial"/>
          <w:szCs w:val="24"/>
        </w:rPr>
        <w:lastRenderedPageBreak/>
        <w:t>level</w:t>
      </w:r>
      <w:r w:rsidR="00155052">
        <w:rPr>
          <w:rFonts w:cs="Arial"/>
          <w:szCs w:val="24"/>
        </w:rPr>
        <w:t>.</w:t>
      </w:r>
      <w:r w:rsidR="002C27BF" w:rsidRPr="00B92503">
        <w:rPr>
          <w:rStyle w:val="FootnoteReference"/>
          <w:rFonts w:cs="Arial"/>
          <w:sz w:val="24"/>
          <w:szCs w:val="24"/>
        </w:rPr>
        <w:footnoteReference w:id="24"/>
      </w:r>
      <w:r w:rsidRPr="00B92503">
        <w:rPr>
          <w:rFonts w:cs="Arial"/>
          <w:szCs w:val="24"/>
        </w:rPr>
        <w:t xml:space="preserve"> </w:t>
      </w:r>
      <w:r w:rsidR="008375AC" w:rsidRPr="00B92503">
        <w:rPr>
          <w:rFonts w:cs="Arial"/>
          <w:szCs w:val="24"/>
        </w:rPr>
        <w:t xml:space="preserve">An initial approximation permits </w:t>
      </w:r>
      <w:r w:rsidRPr="00B92503">
        <w:rPr>
          <w:rFonts w:cs="Arial"/>
          <w:szCs w:val="24"/>
        </w:rPr>
        <w:t xml:space="preserve">the collection of the </w:t>
      </w:r>
      <w:r w:rsidR="008375AC" w:rsidRPr="00B92503">
        <w:rPr>
          <w:rFonts w:cs="Arial"/>
          <w:szCs w:val="24"/>
        </w:rPr>
        <w:t xml:space="preserve">data compiled by </w:t>
      </w:r>
      <w:r w:rsidR="003C2C1E" w:rsidRPr="00B92503">
        <w:rPr>
          <w:rFonts w:cs="Arial"/>
          <w:szCs w:val="24"/>
        </w:rPr>
        <w:t>t</w:t>
      </w:r>
      <w:r w:rsidRPr="00B92503">
        <w:rPr>
          <w:rFonts w:cs="Arial"/>
          <w:szCs w:val="24"/>
        </w:rPr>
        <w:t>he National Care Service, which provides resources for both home care and institutionalised care. However, the number of people with disabilities is not congruent with the number of benefit recipients, as temporary and age-related benefits are also included. On the other hand, the figures do not include persons who have a disability but have not claimed benefits or are not entitled to benefits (who are not insured for long-term care).</w:t>
      </w:r>
    </w:p>
    <w:p w:rsidR="00BF16D1" w:rsidRPr="00B92503" w:rsidRDefault="00BF16D1" w:rsidP="00B92503">
      <w:pPr>
        <w:rPr>
          <w:rFonts w:cs="Arial"/>
          <w:szCs w:val="24"/>
        </w:rPr>
      </w:pPr>
    </w:p>
    <w:p w:rsidR="008E4ACD" w:rsidRPr="00B92503" w:rsidRDefault="008E4ACD" w:rsidP="00B92503">
      <w:pPr>
        <w:pStyle w:val="Heading3"/>
        <w:rPr>
          <w:rFonts w:cs="Arial"/>
          <w:b/>
          <w:szCs w:val="24"/>
        </w:rPr>
      </w:pPr>
      <w:r w:rsidRPr="00B92503">
        <w:rPr>
          <w:rFonts w:cs="Arial"/>
          <w:szCs w:val="24"/>
        </w:rPr>
        <w:t>Current figures</w:t>
      </w:r>
    </w:p>
    <w:p w:rsidR="008E4ACD" w:rsidRPr="00B92503" w:rsidRDefault="008E4ACD" w:rsidP="00B92503">
      <w:pPr>
        <w:rPr>
          <w:rFonts w:cs="Arial"/>
          <w:szCs w:val="24"/>
        </w:rPr>
      </w:pPr>
    </w:p>
    <w:p w:rsidR="00B201AD" w:rsidRDefault="00B201AD" w:rsidP="00B92503">
      <w:pPr>
        <w:rPr>
          <w:rFonts w:cs="Arial"/>
          <w:szCs w:val="24"/>
        </w:rPr>
      </w:pPr>
      <w:r w:rsidRPr="00B92503">
        <w:rPr>
          <w:rFonts w:cs="Arial"/>
          <w:szCs w:val="24"/>
        </w:rPr>
        <w:t>A first indicator to be mentioned here refers to the national number of beds in care facilities</w:t>
      </w:r>
      <w:r w:rsidR="003E354B" w:rsidRPr="00B92503">
        <w:rPr>
          <w:rFonts w:cs="Arial"/>
          <w:szCs w:val="24"/>
        </w:rPr>
        <w:t>. The OECD</w:t>
      </w:r>
      <w:r w:rsidR="003E354B" w:rsidRPr="00B92503">
        <w:rPr>
          <w:rStyle w:val="FootnoteReference"/>
          <w:rFonts w:cs="Arial"/>
          <w:sz w:val="24"/>
          <w:szCs w:val="24"/>
        </w:rPr>
        <w:footnoteReference w:id="25"/>
      </w:r>
      <w:r w:rsidR="003E354B" w:rsidRPr="00B92503">
        <w:rPr>
          <w:rFonts w:cs="Arial"/>
          <w:szCs w:val="24"/>
        </w:rPr>
        <w:t xml:space="preserve"> distinguishes between two indicators: The national number of beds in nursing and residential care facilities per 1</w:t>
      </w:r>
      <w:r w:rsidR="00155052">
        <w:rPr>
          <w:rFonts w:cs="Arial"/>
          <w:szCs w:val="24"/>
        </w:rPr>
        <w:t>,</w:t>
      </w:r>
      <w:r w:rsidR="003E354B" w:rsidRPr="00B92503">
        <w:rPr>
          <w:rFonts w:cs="Arial"/>
          <w:szCs w:val="24"/>
        </w:rPr>
        <w:t xml:space="preserve">000 inhabitants and </w:t>
      </w:r>
      <w:r w:rsidR="003C2C1E" w:rsidRPr="00B92503">
        <w:rPr>
          <w:rFonts w:cs="Arial"/>
          <w:szCs w:val="24"/>
        </w:rPr>
        <w:t>t</w:t>
      </w:r>
      <w:r w:rsidR="003E354B" w:rsidRPr="00B92503">
        <w:rPr>
          <w:rFonts w:cs="Arial"/>
          <w:szCs w:val="24"/>
        </w:rPr>
        <w:t>he national number of beds in nursing and residential care facilities per 1</w:t>
      </w:r>
      <w:r w:rsidR="00155052">
        <w:rPr>
          <w:rFonts w:cs="Arial"/>
          <w:szCs w:val="24"/>
        </w:rPr>
        <w:t>,</w:t>
      </w:r>
      <w:r w:rsidR="003E354B" w:rsidRPr="00B92503">
        <w:rPr>
          <w:rFonts w:cs="Arial"/>
          <w:szCs w:val="24"/>
        </w:rPr>
        <w:t xml:space="preserve">000 inhabitants aged 65 or older. (See Appendix Figure 3) </w:t>
      </w:r>
    </w:p>
    <w:p w:rsidR="00155052" w:rsidRPr="00B92503" w:rsidRDefault="00155052" w:rsidP="00B92503">
      <w:pPr>
        <w:rPr>
          <w:rFonts w:cs="Arial"/>
          <w:szCs w:val="24"/>
        </w:rPr>
      </w:pPr>
    </w:p>
    <w:p w:rsidR="00B201AD" w:rsidRPr="00B92503" w:rsidRDefault="00B201AD" w:rsidP="00B92503">
      <w:pPr>
        <w:rPr>
          <w:rFonts w:cs="Arial"/>
          <w:szCs w:val="24"/>
        </w:rPr>
      </w:pPr>
      <w:r w:rsidRPr="00B92503">
        <w:rPr>
          <w:rFonts w:cs="Arial"/>
          <w:szCs w:val="24"/>
        </w:rPr>
        <w:t xml:space="preserve">Both </w:t>
      </w:r>
      <w:r w:rsidR="003E354B" w:rsidRPr="00B92503">
        <w:rPr>
          <w:rFonts w:cs="Arial"/>
          <w:szCs w:val="24"/>
        </w:rPr>
        <w:t>time series</w:t>
      </w:r>
      <w:r w:rsidRPr="00B92503">
        <w:rPr>
          <w:rFonts w:cs="Arial"/>
          <w:szCs w:val="24"/>
        </w:rPr>
        <w:t xml:space="preserve"> indicate that from 2014 (no data </w:t>
      </w:r>
      <w:r w:rsidR="008375AC" w:rsidRPr="00B92503">
        <w:rPr>
          <w:rFonts w:cs="Arial"/>
          <w:szCs w:val="24"/>
        </w:rPr>
        <w:t xml:space="preserve">are </w:t>
      </w:r>
      <w:r w:rsidRPr="00B92503">
        <w:rPr>
          <w:rFonts w:cs="Arial"/>
          <w:szCs w:val="24"/>
        </w:rPr>
        <w:t xml:space="preserve">available for </w:t>
      </w:r>
      <w:r w:rsidR="008375AC" w:rsidRPr="00B92503">
        <w:rPr>
          <w:rFonts w:cs="Arial"/>
          <w:szCs w:val="24"/>
        </w:rPr>
        <w:t xml:space="preserve">the year </w:t>
      </w:r>
      <w:r w:rsidRPr="00B92503">
        <w:rPr>
          <w:rFonts w:cs="Arial"/>
          <w:szCs w:val="24"/>
        </w:rPr>
        <w:t>2013) no proportional increase of beds in institutions can be observed, which suggests that living independently in the community generally has increased</w:t>
      </w:r>
      <w:r w:rsidR="008375AC" w:rsidRPr="00B92503">
        <w:rPr>
          <w:rFonts w:cs="Arial"/>
          <w:szCs w:val="24"/>
        </w:rPr>
        <w:t xml:space="preserve"> (given a rising population of persons with disabilities)</w:t>
      </w:r>
      <w:r w:rsidRPr="00B92503">
        <w:rPr>
          <w:rFonts w:cs="Arial"/>
          <w:szCs w:val="24"/>
        </w:rPr>
        <w:t xml:space="preserve">. The extent to which people with disabilities </w:t>
      </w:r>
      <w:proofErr w:type="gramStart"/>
      <w:r w:rsidRPr="00B92503">
        <w:rPr>
          <w:rFonts w:cs="Arial"/>
          <w:szCs w:val="24"/>
        </w:rPr>
        <w:t>in particular are</w:t>
      </w:r>
      <w:proofErr w:type="gramEnd"/>
      <w:r w:rsidRPr="00B92503">
        <w:rPr>
          <w:rFonts w:cs="Arial"/>
          <w:szCs w:val="24"/>
        </w:rPr>
        <w:t xml:space="preserve"> affected here cannot be determined.</w:t>
      </w:r>
    </w:p>
    <w:p w:rsidR="003C2C1E" w:rsidRPr="00B92503" w:rsidRDefault="003C2C1E" w:rsidP="00B92503">
      <w:pPr>
        <w:rPr>
          <w:rFonts w:cs="Arial"/>
          <w:szCs w:val="24"/>
        </w:rPr>
      </w:pPr>
    </w:p>
    <w:p w:rsidR="00B201AD" w:rsidRPr="00B92503" w:rsidRDefault="00B201AD" w:rsidP="00B92503">
      <w:pPr>
        <w:rPr>
          <w:rFonts w:cs="Arial"/>
          <w:szCs w:val="24"/>
        </w:rPr>
      </w:pPr>
      <w:r w:rsidRPr="00B92503">
        <w:rPr>
          <w:rFonts w:cs="Arial"/>
          <w:szCs w:val="24"/>
        </w:rPr>
        <w:t>A second indicator to be mentioned deals with the number of people in institutionalised long-term care facilities</w:t>
      </w:r>
      <w:r w:rsidR="003E354B" w:rsidRPr="00B92503">
        <w:rPr>
          <w:rFonts w:cs="Arial"/>
          <w:szCs w:val="24"/>
        </w:rPr>
        <w:t xml:space="preserve">: </w:t>
      </w:r>
      <w:r w:rsidR="00F92E05">
        <w:rPr>
          <w:rFonts w:cs="Arial"/>
          <w:szCs w:val="24"/>
        </w:rPr>
        <w:t>‘</w:t>
      </w:r>
      <w:r w:rsidR="003E354B" w:rsidRPr="00B92503">
        <w:rPr>
          <w:rFonts w:cs="Arial"/>
          <w:i/>
          <w:szCs w:val="24"/>
        </w:rPr>
        <w:t>Men and women receiving formal (paid) long-term care (LTC) in institutions (other than hospitals) or at home</w:t>
      </w:r>
      <w:r w:rsidR="00F92E05">
        <w:rPr>
          <w:rFonts w:cs="Arial"/>
          <w:i/>
          <w:szCs w:val="24"/>
        </w:rPr>
        <w:t>’</w:t>
      </w:r>
      <w:r w:rsidR="00155052">
        <w:rPr>
          <w:rFonts w:cs="Arial"/>
          <w:i/>
          <w:szCs w:val="24"/>
        </w:rPr>
        <w:t>:</w:t>
      </w:r>
      <w:r w:rsidR="003E354B" w:rsidRPr="00B92503">
        <w:rPr>
          <w:rStyle w:val="FootnoteReference"/>
          <w:rFonts w:cs="Arial"/>
          <w:sz w:val="24"/>
          <w:szCs w:val="24"/>
        </w:rPr>
        <w:footnoteReference w:id="26"/>
      </w:r>
      <w:r w:rsidRPr="00B92503">
        <w:rPr>
          <w:rFonts w:cs="Arial"/>
          <w:szCs w:val="24"/>
        </w:rPr>
        <w:t xml:space="preserve"> </w:t>
      </w:r>
    </w:p>
    <w:p w:rsidR="00B201AD" w:rsidRPr="00B92503" w:rsidRDefault="00B201AD" w:rsidP="00B92503">
      <w:pPr>
        <w:rPr>
          <w:rFonts w:cs="Arial"/>
          <w:szCs w:val="24"/>
        </w:rPr>
      </w:pPr>
    </w:p>
    <w:p w:rsidR="00B201AD" w:rsidRPr="00B92503" w:rsidRDefault="00B201AD" w:rsidP="00B92503">
      <w:pPr>
        <w:rPr>
          <w:rFonts w:cs="Arial"/>
          <w:szCs w:val="24"/>
        </w:rPr>
      </w:pPr>
      <w:r w:rsidRPr="00B92503">
        <w:rPr>
          <w:rFonts w:cs="Arial"/>
          <w:szCs w:val="24"/>
        </w:rPr>
        <w:t xml:space="preserve">As </w:t>
      </w:r>
      <w:r w:rsidR="003E354B" w:rsidRPr="00B92503">
        <w:rPr>
          <w:rFonts w:cs="Arial"/>
          <w:szCs w:val="24"/>
        </w:rPr>
        <w:t xml:space="preserve">the data </w:t>
      </w:r>
      <w:r w:rsidRPr="00B92503">
        <w:rPr>
          <w:rFonts w:cs="Arial"/>
          <w:szCs w:val="24"/>
        </w:rPr>
        <w:t>show</w:t>
      </w:r>
      <w:r w:rsidR="003E354B" w:rsidRPr="00B92503">
        <w:rPr>
          <w:rFonts w:cs="Arial"/>
          <w:szCs w:val="24"/>
        </w:rPr>
        <w:t xml:space="preserve"> (see Appendix, Figure 4)</w:t>
      </w:r>
      <w:r w:rsidRPr="00B92503">
        <w:rPr>
          <w:rFonts w:cs="Arial"/>
          <w:szCs w:val="24"/>
        </w:rPr>
        <w:t>, the number of people receiving care at home is higher than the number of people receiving care in an institution and this applies to both sexes. The OECD report contains data for 2013, but there are no more recent data than 2016 and there is no break down by disability.</w:t>
      </w:r>
    </w:p>
    <w:p w:rsidR="003C2C1E" w:rsidRPr="00B92503" w:rsidRDefault="003C2C1E" w:rsidP="00B92503">
      <w:pPr>
        <w:rPr>
          <w:rFonts w:cs="Arial"/>
          <w:szCs w:val="24"/>
        </w:rPr>
      </w:pPr>
    </w:p>
    <w:p w:rsidR="00B201AD" w:rsidRPr="00B92503" w:rsidRDefault="00B201AD" w:rsidP="00B92503">
      <w:pPr>
        <w:rPr>
          <w:rFonts w:cs="Arial"/>
          <w:szCs w:val="24"/>
        </w:rPr>
      </w:pPr>
      <w:r w:rsidRPr="00B92503">
        <w:rPr>
          <w:rFonts w:cs="Arial"/>
          <w:szCs w:val="24"/>
        </w:rPr>
        <w:lastRenderedPageBreak/>
        <w:t>In 2016, the number of people receiving care at home amounted at 9</w:t>
      </w:r>
      <w:r w:rsidR="00F92E05">
        <w:rPr>
          <w:rFonts w:cs="Arial"/>
          <w:szCs w:val="24"/>
        </w:rPr>
        <w:t>,</w:t>
      </w:r>
      <w:r w:rsidRPr="00B92503">
        <w:rPr>
          <w:rFonts w:cs="Arial"/>
          <w:szCs w:val="24"/>
        </w:rPr>
        <w:t>182 persons (3</w:t>
      </w:r>
      <w:r w:rsidR="00F92E05">
        <w:rPr>
          <w:rFonts w:cs="Arial"/>
          <w:szCs w:val="24"/>
        </w:rPr>
        <w:t>,</w:t>
      </w:r>
      <w:r w:rsidRPr="00B92503">
        <w:rPr>
          <w:rFonts w:cs="Arial"/>
          <w:szCs w:val="24"/>
        </w:rPr>
        <w:t>869 men and 5</w:t>
      </w:r>
      <w:r w:rsidR="00F92E05">
        <w:rPr>
          <w:rFonts w:cs="Arial"/>
          <w:szCs w:val="24"/>
        </w:rPr>
        <w:t>,</w:t>
      </w:r>
      <w:r w:rsidRPr="00B92503">
        <w:rPr>
          <w:rFonts w:cs="Arial"/>
          <w:szCs w:val="24"/>
        </w:rPr>
        <w:t>313 women) and the number of people receiving care in institutions amounted to 4</w:t>
      </w:r>
      <w:r w:rsidR="00F92E05">
        <w:rPr>
          <w:rFonts w:cs="Arial"/>
          <w:szCs w:val="24"/>
        </w:rPr>
        <w:t>,</w:t>
      </w:r>
      <w:r w:rsidRPr="00B92503">
        <w:rPr>
          <w:rFonts w:cs="Arial"/>
          <w:szCs w:val="24"/>
        </w:rPr>
        <w:t>560 (1</w:t>
      </w:r>
      <w:r w:rsidR="00F92E05">
        <w:rPr>
          <w:rFonts w:cs="Arial"/>
          <w:szCs w:val="24"/>
        </w:rPr>
        <w:t>,</w:t>
      </w:r>
      <w:r w:rsidRPr="00B92503">
        <w:rPr>
          <w:rFonts w:cs="Arial"/>
          <w:szCs w:val="24"/>
        </w:rPr>
        <w:t>130 men and 4</w:t>
      </w:r>
      <w:r w:rsidR="00F92E05">
        <w:rPr>
          <w:rFonts w:cs="Arial"/>
          <w:szCs w:val="24"/>
        </w:rPr>
        <w:t>,</w:t>
      </w:r>
      <w:r w:rsidRPr="00B92503">
        <w:rPr>
          <w:rFonts w:cs="Arial"/>
          <w:szCs w:val="24"/>
        </w:rPr>
        <w:t>330 women).</w:t>
      </w:r>
    </w:p>
    <w:p w:rsidR="003C2C1E" w:rsidRPr="00B92503" w:rsidRDefault="003C2C1E" w:rsidP="00B92503">
      <w:pPr>
        <w:rPr>
          <w:rFonts w:cs="Arial"/>
          <w:szCs w:val="24"/>
        </w:rPr>
      </w:pPr>
    </w:p>
    <w:p w:rsidR="00B201AD" w:rsidRPr="00B92503" w:rsidRDefault="004814E9" w:rsidP="00B92503">
      <w:pPr>
        <w:rPr>
          <w:rFonts w:cs="Arial"/>
          <w:szCs w:val="24"/>
        </w:rPr>
      </w:pPr>
      <w:r w:rsidRPr="00B92503">
        <w:rPr>
          <w:rFonts w:cs="Arial"/>
          <w:szCs w:val="24"/>
        </w:rPr>
        <w:t xml:space="preserve">Broken down by age group the data (for </w:t>
      </w:r>
      <w:r w:rsidRPr="00B92503">
        <w:rPr>
          <w:rFonts w:cs="Arial"/>
          <w:spacing w:val="-3"/>
          <w:szCs w:val="24"/>
        </w:rPr>
        <w:t xml:space="preserve">year </w:t>
      </w:r>
      <w:r w:rsidRPr="00B92503">
        <w:rPr>
          <w:rFonts w:cs="Arial"/>
          <w:szCs w:val="24"/>
        </w:rPr>
        <w:t xml:space="preserve">2016) </w:t>
      </w:r>
      <w:r w:rsidRPr="00B92503">
        <w:rPr>
          <w:rFonts w:cs="Arial"/>
          <w:i/>
          <w:szCs w:val="24"/>
        </w:rPr>
        <w:t>on long-term care recipients in in</w:t>
      </w:r>
      <w:r w:rsidR="00B04857" w:rsidRPr="00B92503">
        <w:rPr>
          <w:rFonts w:cs="Arial"/>
          <w:i/>
          <w:szCs w:val="24"/>
        </w:rPr>
        <w:t>–</w:t>
      </w:r>
      <w:proofErr w:type="spellStart"/>
      <w:r w:rsidRPr="00B92503">
        <w:rPr>
          <w:rFonts w:cs="Arial"/>
          <w:i/>
          <w:szCs w:val="24"/>
        </w:rPr>
        <w:t>stitutions</w:t>
      </w:r>
      <w:proofErr w:type="spellEnd"/>
      <w:r w:rsidRPr="00B92503">
        <w:rPr>
          <w:rFonts w:cs="Arial"/>
          <w:i/>
          <w:szCs w:val="24"/>
        </w:rPr>
        <w:t xml:space="preserve"> or at home show that the need </w:t>
      </w:r>
      <w:r w:rsidRPr="00B92503">
        <w:rPr>
          <w:rFonts w:cs="Arial"/>
          <w:i/>
          <w:spacing w:val="-3"/>
          <w:szCs w:val="24"/>
        </w:rPr>
        <w:t xml:space="preserve">for </w:t>
      </w:r>
      <w:r w:rsidRPr="00B92503">
        <w:rPr>
          <w:rFonts w:cs="Arial"/>
          <w:i/>
          <w:szCs w:val="24"/>
        </w:rPr>
        <w:t xml:space="preserve">long-term </w:t>
      </w:r>
      <w:r w:rsidRPr="00B92503">
        <w:rPr>
          <w:rFonts w:cs="Arial"/>
          <w:szCs w:val="24"/>
        </w:rPr>
        <w:t xml:space="preserve">care increases with age and </w:t>
      </w:r>
      <w:r w:rsidR="00E1309A" w:rsidRPr="00B92503">
        <w:rPr>
          <w:rFonts w:cs="Arial"/>
          <w:szCs w:val="24"/>
        </w:rPr>
        <w:t>affects</w:t>
      </w:r>
      <w:r w:rsidRPr="00B92503">
        <w:rPr>
          <w:rFonts w:cs="Arial"/>
          <w:szCs w:val="24"/>
        </w:rPr>
        <w:t xml:space="preserve"> women more than men in old age.</w:t>
      </w:r>
      <w:r w:rsidRPr="00B92503">
        <w:rPr>
          <w:rStyle w:val="FootnoteReference"/>
          <w:rFonts w:cs="Arial"/>
          <w:sz w:val="24"/>
          <w:szCs w:val="24"/>
        </w:rPr>
        <w:footnoteReference w:id="27"/>
      </w:r>
      <w:r w:rsidRPr="00B92503">
        <w:rPr>
          <w:rFonts w:cs="Arial"/>
          <w:szCs w:val="24"/>
        </w:rPr>
        <w:t xml:space="preserve"> Independent living seems to be more feasible for older men than for women. While men in older age tend to receive care at home, women tend </w:t>
      </w:r>
      <w:r w:rsidRPr="00B92503">
        <w:rPr>
          <w:rFonts w:cs="Arial"/>
          <w:spacing w:val="-3"/>
          <w:szCs w:val="24"/>
        </w:rPr>
        <w:t xml:space="preserve">to </w:t>
      </w:r>
      <w:r w:rsidRPr="00B92503">
        <w:rPr>
          <w:rFonts w:cs="Arial"/>
          <w:szCs w:val="24"/>
        </w:rPr>
        <w:t xml:space="preserve">receive care in an institutionalised context. This difference may, </w:t>
      </w:r>
      <w:r w:rsidR="00E1309A" w:rsidRPr="00B92503">
        <w:rPr>
          <w:rFonts w:cs="Arial"/>
          <w:szCs w:val="24"/>
        </w:rPr>
        <w:t>however</w:t>
      </w:r>
      <w:r w:rsidRPr="00B92503">
        <w:rPr>
          <w:rFonts w:cs="Arial"/>
          <w:szCs w:val="24"/>
        </w:rPr>
        <w:t>, be entirely due to the higher life expectancy of women. (See Appendix, figure</w:t>
      </w:r>
      <w:r w:rsidRPr="00B92503">
        <w:rPr>
          <w:rFonts w:cs="Arial"/>
          <w:spacing w:val="1"/>
          <w:szCs w:val="24"/>
        </w:rPr>
        <w:t xml:space="preserve"> </w:t>
      </w:r>
      <w:r w:rsidRPr="00B92503">
        <w:rPr>
          <w:rFonts w:cs="Arial"/>
          <w:szCs w:val="24"/>
        </w:rPr>
        <w:t>5).</w:t>
      </w:r>
    </w:p>
    <w:p w:rsidR="003C2C1E" w:rsidRPr="00B92503" w:rsidRDefault="003C2C1E" w:rsidP="00B92503">
      <w:pPr>
        <w:rPr>
          <w:rFonts w:cs="Arial"/>
          <w:szCs w:val="24"/>
        </w:rPr>
      </w:pPr>
    </w:p>
    <w:p w:rsidR="00B201AD" w:rsidRPr="00B92503" w:rsidRDefault="00B201AD" w:rsidP="00B92503">
      <w:pPr>
        <w:rPr>
          <w:rFonts w:cs="Arial"/>
          <w:szCs w:val="24"/>
        </w:rPr>
      </w:pPr>
      <w:r w:rsidRPr="00B92503">
        <w:rPr>
          <w:rFonts w:cs="Arial"/>
          <w:szCs w:val="24"/>
        </w:rPr>
        <w:t>The reports “</w:t>
      </w:r>
      <w:r w:rsidRPr="00B92503">
        <w:rPr>
          <w:rFonts w:cs="Arial"/>
          <w:i/>
          <w:szCs w:val="24"/>
        </w:rPr>
        <w:t>From institutions to community living - Part I: commitments and structures</w:t>
      </w:r>
      <w:r w:rsidRPr="00B92503">
        <w:rPr>
          <w:rFonts w:cs="Arial"/>
          <w:szCs w:val="24"/>
        </w:rPr>
        <w:t>” and part II “</w:t>
      </w:r>
      <w:r w:rsidRPr="00B92503">
        <w:rPr>
          <w:rFonts w:cs="Arial"/>
          <w:i/>
          <w:szCs w:val="24"/>
        </w:rPr>
        <w:t>From institutions to community living - Part II: funding and budgeting</w:t>
      </w:r>
      <w:r w:rsidRPr="00B92503">
        <w:rPr>
          <w:rFonts w:cs="Arial"/>
          <w:szCs w:val="24"/>
        </w:rPr>
        <w:t xml:space="preserve">” prepared by the </w:t>
      </w:r>
      <w:proofErr w:type="spellStart"/>
      <w:r w:rsidRPr="00B92503">
        <w:rPr>
          <w:rFonts w:cs="Arial"/>
          <w:szCs w:val="24"/>
        </w:rPr>
        <w:t>Euopean</w:t>
      </w:r>
      <w:proofErr w:type="spellEnd"/>
      <w:r w:rsidRPr="00B92503">
        <w:rPr>
          <w:rFonts w:cs="Arial"/>
          <w:szCs w:val="24"/>
        </w:rPr>
        <w:t xml:space="preserve"> Agency for Fundamental Rights (FRA) only addresses Luxembourg in a few places and does not provide </w:t>
      </w:r>
      <w:r w:rsidR="002C27BF" w:rsidRPr="00B92503">
        <w:rPr>
          <w:rFonts w:cs="Arial"/>
          <w:szCs w:val="24"/>
        </w:rPr>
        <w:t xml:space="preserve">systematically </w:t>
      </w:r>
      <w:r w:rsidRPr="00B92503">
        <w:rPr>
          <w:rFonts w:cs="Arial"/>
          <w:szCs w:val="24"/>
        </w:rPr>
        <w:t>empirical data</w:t>
      </w:r>
      <w:r w:rsidR="00F92E05">
        <w:rPr>
          <w:rFonts w:cs="Arial"/>
          <w:szCs w:val="24"/>
        </w:rPr>
        <w:t>.</w:t>
      </w:r>
      <w:r w:rsidRPr="00B92503">
        <w:rPr>
          <w:rStyle w:val="FootnoteReference"/>
          <w:rFonts w:cs="Arial"/>
          <w:sz w:val="24"/>
          <w:szCs w:val="24"/>
        </w:rPr>
        <w:footnoteReference w:id="28"/>
      </w:r>
      <w:r w:rsidRPr="00B92503">
        <w:rPr>
          <w:rFonts w:cs="Arial"/>
          <w:szCs w:val="24"/>
        </w:rPr>
        <w:t xml:space="preserve"> </w:t>
      </w:r>
    </w:p>
    <w:p w:rsidR="003C2C1E" w:rsidRPr="00B92503" w:rsidRDefault="003C2C1E" w:rsidP="00B92503">
      <w:pPr>
        <w:rPr>
          <w:rFonts w:cs="Arial"/>
          <w:color w:val="0000FF"/>
          <w:szCs w:val="24"/>
        </w:rPr>
      </w:pPr>
    </w:p>
    <w:p w:rsidR="00B201AD" w:rsidRPr="00B92503" w:rsidRDefault="00B201AD" w:rsidP="00B92503">
      <w:pPr>
        <w:rPr>
          <w:rFonts w:cs="Arial"/>
          <w:szCs w:val="24"/>
        </w:rPr>
      </w:pPr>
      <w:r w:rsidRPr="00B92503">
        <w:rPr>
          <w:rFonts w:cs="Arial"/>
          <w:szCs w:val="24"/>
        </w:rPr>
        <w:t xml:space="preserve">Luxembourg is also not </w:t>
      </w:r>
      <w:r w:rsidR="00553120">
        <w:rPr>
          <w:rFonts w:cs="Arial"/>
          <w:szCs w:val="24"/>
        </w:rPr>
        <w:t>1</w:t>
      </w:r>
      <w:r w:rsidRPr="00B92503">
        <w:rPr>
          <w:rFonts w:cs="Arial"/>
          <w:szCs w:val="24"/>
        </w:rPr>
        <w:t xml:space="preserve"> of the </w:t>
      </w:r>
      <w:r w:rsidR="00F92E05">
        <w:rPr>
          <w:rFonts w:cs="Arial"/>
          <w:szCs w:val="24"/>
        </w:rPr>
        <w:t>10</w:t>
      </w:r>
      <w:r w:rsidRPr="00B92503">
        <w:rPr>
          <w:rFonts w:cs="Arial"/>
          <w:szCs w:val="24"/>
        </w:rPr>
        <w:t xml:space="preserve"> member States of the “</w:t>
      </w:r>
      <w:r w:rsidRPr="00B92503">
        <w:rPr>
          <w:rFonts w:cs="Arial"/>
          <w:i/>
          <w:szCs w:val="24"/>
        </w:rPr>
        <w:t>Funds Watch Group of the European Structural and Investment Funds (ESIF)</w:t>
      </w:r>
      <w:r w:rsidR="00B134C7" w:rsidRPr="00B92503">
        <w:rPr>
          <w:rFonts w:cs="Arial"/>
          <w:i/>
          <w:szCs w:val="24"/>
        </w:rPr>
        <w:t>”</w:t>
      </w:r>
      <w:r w:rsidRPr="00B92503">
        <w:rPr>
          <w:rFonts w:cs="Arial"/>
          <w:i/>
          <w:szCs w:val="24"/>
        </w:rPr>
        <w:t xml:space="preserve"> </w:t>
      </w:r>
      <w:r w:rsidRPr="00B92503">
        <w:rPr>
          <w:rFonts w:cs="Arial"/>
          <w:szCs w:val="24"/>
        </w:rPr>
        <w:t xml:space="preserve">on community living in Europe </w:t>
      </w:r>
      <w:r w:rsidRPr="00B92503">
        <w:rPr>
          <w:rFonts w:cs="Arial"/>
          <w:spacing w:val="-3"/>
          <w:szCs w:val="24"/>
        </w:rPr>
        <w:t xml:space="preserve">to </w:t>
      </w:r>
      <w:r w:rsidRPr="00B92503">
        <w:rPr>
          <w:rFonts w:cs="Arial"/>
          <w:szCs w:val="24"/>
        </w:rPr>
        <w:t xml:space="preserve">support </w:t>
      </w:r>
      <w:r w:rsidR="00B134C7" w:rsidRPr="00B92503">
        <w:rPr>
          <w:rFonts w:cs="Arial"/>
          <w:szCs w:val="24"/>
        </w:rPr>
        <w:t xml:space="preserve">independent and </w:t>
      </w:r>
      <w:r w:rsidRPr="00B92503">
        <w:rPr>
          <w:rFonts w:cs="Arial"/>
          <w:szCs w:val="24"/>
        </w:rPr>
        <w:t>community living for persons with disabilities, children and older</w:t>
      </w:r>
      <w:r w:rsidRPr="00B92503">
        <w:rPr>
          <w:rFonts w:cs="Arial"/>
          <w:spacing w:val="3"/>
          <w:szCs w:val="24"/>
        </w:rPr>
        <w:t xml:space="preserve"> </w:t>
      </w:r>
      <w:r w:rsidRPr="00B92503">
        <w:rPr>
          <w:rFonts w:cs="Arial"/>
          <w:szCs w:val="24"/>
        </w:rPr>
        <w:t>persons.</w:t>
      </w:r>
      <w:r w:rsidRPr="00B92503">
        <w:rPr>
          <w:rStyle w:val="FootnoteReference"/>
          <w:rFonts w:cs="Arial"/>
          <w:sz w:val="24"/>
          <w:szCs w:val="24"/>
        </w:rPr>
        <w:footnoteReference w:id="29"/>
      </w:r>
      <w:r w:rsidRPr="00B92503">
        <w:rPr>
          <w:rFonts w:cs="Arial"/>
          <w:szCs w:val="24"/>
        </w:rPr>
        <w:t xml:space="preserve"> </w:t>
      </w:r>
    </w:p>
    <w:p w:rsidR="003C2C1E" w:rsidRPr="00B92503" w:rsidRDefault="003C2C1E" w:rsidP="00B92503">
      <w:pPr>
        <w:rPr>
          <w:rFonts w:cs="Arial"/>
          <w:szCs w:val="24"/>
        </w:rPr>
      </w:pPr>
    </w:p>
    <w:p w:rsidR="00693D1A" w:rsidRDefault="00693D1A" w:rsidP="00B92503">
      <w:pPr>
        <w:rPr>
          <w:rFonts w:cs="Arial"/>
          <w:szCs w:val="24"/>
        </w:rPr>
      </w:pPr>
      <w:r w:rsidRPr="00B92503">
        <w:rPr>
          <w:rFonts w:cs="Arial"/>
          <w:szCs w:val="24"/>
        </w:rPr>
        <w:t xml:space="preserve">The following table shows the most recent data published by </w:t>
      </w:r>
      <w:r w:rsidR="00B134C7" w:rsidRPr="00B92503">
        <w:rPr>
          <w:rFonts w:cs="Arial"/>
          <w:szCs w:val="24"/>
        </w:rPr>
        <w:t>the national</w:t>
      </w:r>
      <w:r w:rsidRPr="00B92503">
        <w:rPr>
          <w:rFonts w:cs="Arial"/>
          <w:szCs w:val="24"/>
        </w:rPr>
        <w:t xml:space="preserve"> social security insurance</w:t>
      </w:r>
      <w:r w:rsidR="00F92E05">
        <w:rPr>
          <w:rFonts w:cs="Arial"/>
          <w:szCs w:val="24"/>
        </w:rPr>
        <w:t>.</w:t>
      </w:r>
      <w:r w:rsidR="00B134C7" w:rsidRPr="00B92503">
        <w:rPr>
          <w:rStyle w:val="FootnoteReference"/>
          <w:rFonts w:cs="Arial"/>
          <w:sz w:val="24"/>
          <w:szCs w:val="24"/>
        </w:rPr>
        <w:footnoteReference w:id="30"/>
      </w:r>
    </w:p>
    <w:p w:rsidR="00F92E05" w:rsidRPr="00B92503" w:rsidRDefault="00F92E05" w:rsidP="00B92503">
      <w:pPr>
        <w:rPr>
          <w:rFonts w:cs="Arial"/>
          <w:szCs w:val="24"/>
        </w:rPr>
      </w:pPr>
    </w:p>
    <w:p w:rsidR="00693D1A" w:rsidRPr="00B92503" w:rsidRDefault="00D22CD2" w:rsidP="00B92503">
      <w:pPr>
        <w:rPr>
          <w:rFonts w:cs="Arial"/>
          <w:szCs w:val="24"/>
        </w:rPr>
      </w:pPr>
      <w:r w:rsidRPr="00B92503">
        <w:rPr>
          <w:rFonts w:cs="Arial"/>
          <w:b/>
          <w:szCs w:val="24"/>
        </w:rPr>
        <w:t xml:space="preserve">Figure </w:t>
      </w:r>
      <w:r w:rsidR="0059055A" w:rsidRPr="00B92503">
        <w:rPr>
          <w:rFonts w:cs="Arial"/>
          <w:b/>
          <w:szCs w:val="24"/>
        </w:rPr>
        <w:t>6</w:t>
      </w:r>
      <w:r w:rsidR="00D823C4" w:rsidRPr="00B92503">
        <w:rPr>
          <w:rFonts w:cs="Arial"/>
          <w:szCs w:val="24"/>
        </w:rPr>
        <w:t>:</w:t>
      </w:r>
      <w:r w:rsidRPr="00B92503">
        <w:rPr>
          <w:rFonts w:cs="Arial"/>
          <w:szCs w:val="24"/>
        </w:rPr>
        <w:t xml:space="preserve"> </w:t>
      </w:r>
      <w:r w:rsidR="00720FE1" w:rsidRPr="00B92503">
        <w:rPr>
          <w:rFonts w:cs="Arial"/>
          <w:szCs w:val="24"/>
        </w:rPr>
        <w:t>Number of beneficiaries by age group and care</w:t>
      </w:r>
      <w:r w:rsidR="00DB47E6" w:rsidRPr="00B92503">
        <w:rPr>
          <w:rFonts w:cs="Arial"/>
          <w:szCs w:val="24"/>
        </w:rPr>
        <w:t xml:space="preserve"> performance</w:t>
      </w:r>
      <w:r w:rsidR="00D823C4" w:rsidRPr="00B92503">
        <w:rPr>
          <w:rFonts w:cs="Arial"/>
          <w:szCs w:val="24"/>
        </w:rPr>
        <w:t xml:space="preserve"> (2016)</w:t>
      </w:r>
    </w:p>
    <w:tbl>
      <w:tblPr>
        <w:tblW w:w="9105" w:type="dxa"/>
        <w:tblInd w:w="-38" w:type="dxa"/>
        <w:tblLayout w:type="fixed"/>
        <w:tblCellMar>
          <w:left w:w="30" w:type="dxa"/>
          <w:right w:w="30" w:type="dxa"/>
        </w:tblCellMar>
        <w:tblLook w:val="0000" w:firstRow="0" w:lastRow="0" w:firstColumn="0" w:lastColumn="0" w:noHBand="0" w:noVBand="0"/>
      </w:tblPr>
      <w:tblGrid>
        <w:gridCol w:w="1731"/>
        <w:gridCol w:w="1988"/>
        <w:gridCol w:w="2268"/>
        <w:gridCol w:w="992"/>
        <w:gridCol w:w="2126"/>
      </w:tblGrid>
      <w:tr w:rsidR="00D823C4" w:rsidRPr="00B92503" w:rsidTr="00F92E05">
        <w:trPr>
          <w:trHeight w:val="288"/>
        </w:trPr>
        <w:tc>
          <w:tcPr>
            <w:tcW w:w="1731" w:type="dxa"/>
            <w:vMerge w:val="restart"/>
            <w:tcBorders>
              <w:top w:val="single" w:sz="4" w:space="0" w:color="auto"/>
              <w:left w:val="single" w:sz="4" w:space="0" w:color="auto"/>
              <w:bottom w:val="single" w:sz="4" w:space="0" w:color="auto"/>
              <w:right w:val="single" w:sz="4" w:space="0" w:color="auto"/>
            </w:tcBorders>
            <w:shd w:val="clear" w:color="auto" w:fill="DAEEF3"/>
            <w:vAlign w:val="center"/>
          </w:tcPr>
          <w:p w:rsidR="00D823C4" w:rsidRPr="00B92503" w:rsidRDefault="00D823C4" w:rsidP="00B92503">
            <w:pPr>
              <w:autoSpaceDE w:val="0"/>
              <w:autoSpaceDN w:val="0"/>
              <w:adjustRightInd w:val="0"/>
              <w:jc w:val="center"/>
              <w:rPr>
                <w:rFonts w:cs="Arial"/>
                <w:color w:val="000000"/>
                <w:szCs w:val="24"/>
                <w:lang w:val="en-US"/>
              </w:rPr>
            </w:pPr>
            <w:r w:rsidRPr="00B92503">
              <w:rPr>
                <w:rFonts w:cs="Arial"/>
                <w:color w:val="000000"/>
                <w:szCs w:val="24"/>
                <w:lang w:val="en-US"/>
              </w:rPr>
              <w:t>Age group</w:t>
            </w:r>
          </w:p>
        </w:tc>
        <w:tc>
          <w:tcPr>
            <w:tcW w:w="7374"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rsidR="00D823C4" w:rsidRPr="00B92503" w:rsidRDefault="00D823C4" w:rsidP="00B92503">
            <w:pPr>
              <w:autoSpaceDE w:val="0"/>
              <w:autoSpaceDN w:val="0"/>
              <w:adjustRightInd w:val="0"/>
              <w:jc w:val="center"/>
              <w:rPr>
                <w:rFonts w:cs="Arial"/>
                <w:color w:val="000000"/>
                <w:szCs w:val="24"/>
                <w:lang w:val="en-US"/>
              </w:rPr>
            </w:pPr>
            <w:r w:rsidRPr="00B92503">
              <w:rPr>
                <w:rFonts w:cs="Arial"/>
                <w:color w:val="000000"/>
                <w:szCs w:val="24"/>
                <w:lang w:val="en-US"/>
              </w:rPr>
              <w:t>2016</w:t>
            </w:r>
          </w:p>
        </w:tc>
      </w:tr>
      <w:tr w:rsidR="001D0450" w:rsidRPr="00B92503" w:rsidTr="00F92E05">
        <w:trPr>
          <w:trHeight w:val="349"/>
        </w:trPr>
        <w:tc>
          <w:tcPr>
            <w:tcW w:w="1731" w:type="dxa"/>
            <w:vMerge/>
            <w:tcBorders>
              <w:top w:val="single" w:sz="4" w:space="0" w:color="auto"/>
              <w:left w:val="single" w:sz="4" w:space="0" w:color="auto"/>
              <w:bottom w:val="single" w:sz="4" w:space="0" w:color="auto"/>
              <w:right w:val="single" w:sz="4" w:space="0" w:color="auto"/>
            </w:tcBorders>
            <w:shd w:val="clear" w:color="auto" w:fill="DAEEF3"/>
            <w:vAlign w:val="center"/>
          </w:tcPr>
          <w:p w:rsidR="00D823C4" w:rsidRPr="00B92503" w:rsidRDefault="00D823C4" w:rsidP="00B92503">
            <w:pPr>
              <w:autoSpaceDE w:val="0"/>
              <w:autoSpaceDN w:val="0"/>
              <w:adjustRightInd w:val="0"/>
              <w:jc w:val="center"/>
              <w:rPr>
                <w:rFonts w:cs="Arial"/>
                <w:color w:val="000000"/>
                <w:szCs w:val="24"/>
                <w:lang w:val="en-US"/>
              </w:rPr>
            </w:pPr>
          </w:p>
        </w:tc>
        <w:tc>
          <w:tcPr>
            <w:tcW w:w="1988" w:type="dxa"/>
            <w:tcBorders>
              <w:top w:val="single" w:sz="4" w:space="0" w:color="auto"/>
              <w:left w:val="single" w:sz="4" w:space="0" w:color="auto"/>
              <w:bottom w:val="single" w:sz="4" w:space="0" w:color="auto"/>
              <w:right w:val="single" w:sz="4" w:space="0" w:color="auto"/>
            </w:tcBorders>
            <w:shd w:val="clear" w:color="auto" w:fill="DAEEF3"/>
            <w:vAlign w:val="center"/>
          </w:tcPr>
          <w:p w:rsidR="00D823C4" w:rsidRPr="00B92503" w:rsidRDefault="00D823C4" w:rsidP="00B92503">
            <w:pPr>
              <w:autoSpaceDE w:val="0"/>
              <w:autoSpaceDN w:val="0"/>
              <w:adjustRightInd w:val="0"/>
              <w:jc w:val="center"/>
              <w:rPr>
                <w:rFonts w:cs="Arial"/>
                <w:color w:val="000000"/>
                <w:szCs w:val="24"/>
                <w:lang w:val="en-US"/>
              </w:rPr>
            </w:pPr>
            <w:r w:rsidRPr="00B92503">
              <w:rPr>
                <w:rFonts w:cs="Arial"/>
                <w:color w:val="000000"/>
                <w:szCs w:val="24"/>
                <w:lang w:val="en-US"/>
              </w:rPr>
              <w:t>Domestic care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tcPr>
          <w:p w:rsidR="00D823C4" w:rsidRPr="00B92503" w:rsidRDefault="00D823C4" w:rsidP="00B92503">
            <w:pPr>
              <w:autoSpaceDE w:val="0"/>
              <w:autoSpaceDN w:val="0"/>
              <w:adjustRightInd w:val="0"/>
              <w:jc w:val="center"/>
              <w:rPr>
                <w:rFonts w:cs="Arial"/>
                <w:color w:val="000000"/>
                <w:szCs w:val="24"/>
                <w:lang w:val="en-US"/>
              </w:rPr>
            </w:pPr>
            <w:r w:rsidRPr="00B92503">
              <w:rPr>
                <w:rFonts w:cs="Arial"/>
                <w:color w:val="000000"/>
                <w:szCs w:val="24"/>
                <w:lang w:val="en-US"/>
              </w:rPr>
              <w:t>Institutional care</w:t>
            </w:r>
            <w:r w:rsidR="001A1ADD" w:rsidRPr="00B92503">
              <w:rPr>
                <w:rStyle w:val="FootnoteReference"/>
                <w:rFonts w:eastAsia="MS Gothic" w:cs="Arial"/>
                <w:sz w:val="24"/>
                <w:szCs w:val="24"/>
              </w:rPr>
              <w:footnoteReference w:id="31"/>
            </w:r>
          </w:p>
        </w:tc>
        <w:tc>
          <w:tcPr>
            <w:tcW w:w="992" w:type="dxa"/>
            <w:tcBorders>
              <w:top w:val="single" w:sz="4" w:space="0" w:color="auto"/>
              <w:left w:val="single" w:sz="4" w:space="0" w:color="auto"/>
              <w:bottom w:val="single" w:sz="4" w:space="0" w:color="auto"/>
              <w:right w:val="single" w:sz="4" w:space="0" w:color="auto"/>
            </w:tcBorders>
            <w:shd w:val="clear" w:color="auto" w:fill="DAEEF3"/>
            <w:vAlign w:val="center"/>
          </w:tcPr>
          <w:p w:rsidR="00D823C4" w:rsidRPr="00B92503" w:rsidRDefault="00D823C4" w:rsidP="00B92503">
            <w:pPr>
              <w:autoSpaceDE w:val="0"/>
              <w:autoSpaceDN w:val="0"/>
              <w:adjustRightInd w:val="0"/>
              <w:jc w:val="center"/>
              <w:rPr>
                <w:rFonts w:cs="Arial"/>
                <w:color w:val="000000"/>
                <w:szCs w:val="24"/>
                <w:lang w:val="en-US"/>
              </w:rPr>
            </w:pPr>
            <w:r w:rsidRPr="00B92503">
              <w:rPr>
                <w:rFonts w:cs="Arial"/>
                <w:color w:val="000000"/>
                <w:szCs w:val="24"/>
                <w:lang w:val="en-US"/>
              </w:rPr>
              <w:t>All</w:t>
            </w:r>
          </w:p>
        </w:tc>
        <w:tc>
          <w:tcPr>
            <w:tcW w:w="2126" w:type="dxa"/>
            <w:tcBorders>
              <w:top w:val="single" w:sz="4" w:space="0" w:color="auto"/>
              <w:left w:val="single" w:sz="4" w:space="0" w:color="auto"/>
              <w:bottom w:val="single" w:sz="4" w:space="0" w:color="auto"/>
              <w:right w:val="single" w:sz="4" w:space="0" w:color="auto"/>
            </w:tcBorders>
            <w:shd w:val="clear" w:color="auto" w:fill="DAEEF3"/>
            <w:vAlign w:val="center"/>
          </w:tcPr>
          <w:p w:rsidR="00D823C4" w:rsidRPr="00B92503" w:rsidRDefault="00D823C4" w:rsidP="00B92503">
            <w:pPr>
              <w:autoSpaceDE w:val="0"/>
              <w:autoSpaceDN w:val="0"/>
              <w:adjustRightInd w:val="0"/>
              <w:jc w:val="center"/>
              <w:rPr>
                <w:rFonts w:cs="Arial"/>
                <w:i/>
                <w:color w:val="000000"/>
                <w:szCs w:val="24"/>
                <w:lang w:val="en-US"/>
              </w:rPr>
            </w:pPr>
            <w:r w:rsidRPr="00B92503">
              <w:rPr>
                <w:rFonts w:cs="Arial"/>
                <w:i/>
                <w:color w:val="000000"/>
                <w:szCs w:val="24"/>
                <w:lang w:val="en-US"/>
              </w:rPr>
              <w:t xml:space="preserve">Domestic care </w:t>
            </w:r>
            <w:r w:rsidR="00F92E05">
              <w:rPr>
                <w:rFonts w:cs="Arial"/>
                <w:i/>
                <w:color w:val="000000"/>
                <w:szCs w:val="24"/>
                <w:lang w:val="en-US"/>
              </w:rPr>
              <w:t>%</w:t>
            </w:r>
          </w:p>
        </w:tc>
      </w:tr>
      <w:tr w:rsidR="001D0450" w:rsidRPr="00B92503" w:rsidTr="00F92E05">
        <w:trPr>
          <w:trHeight w:val="300"/>
        </w:trPr>
        <w:tc>
          <w:tcPr>
            <w:tcW w:w="1731" w:type="dxa"/>
            <w:tcBorders>
              <w:top w:val="single" w:sz="4" w:space="0" w:color="auto"/>
              <w:left w:val="single" w:sz="6" w:space="0" w:color="auto"/>
              <w:bottom w:val="single" w:sz="6" w:space="0" w:color="auto"/>
              <w:right w:val="single" w:sz="6" w:space="0" w:color="auto"/>
            </w:tcBorders>
            <w:shd w:val="clear" w:color="auto" w:fill="DAEEF3"/>
            <w:vAlign w:val="center"/>
          </w:tcPr>
          <w:p w:rsidR="00D823C4" w:rsidRPr="00B92503" w:rsidRDefault="00D823C4" w:rsidP="00B92503">
            <w:pPr>
              <w:autoSpaceDE w:val="0"/>
              <w:autoSpaceDN w:val="0"/>
              <w:adjustRightInd w:val="0"/>
              <w:jc w:val="center"/>
              <w:rPr>
                <w:rFonts w:cs="Arial"/>
                <w:color w:val="000000"/>
                <w:szCs w:val="24"/>
                <w:lang w:val="en-US"/>
              </w:rPr>
            </w:pPr>
            <w:r w:rsidRPr="00B92503">
              <w:rPr>
                <w:rFonts w:cs="Arial"/>
                <w:color w:val="000000"/>
                <w:szCs w:val="24"/>
                <w:lang w:val="en-US"/>
              </w:rPr>
              <w:t>0-19</w:t>
            </w:r>
          </w:p>
        </w:tc>
        <w:tc>
          <w:tcPr>
            <w:tcW w:w="1988" w:type="dxa"/>
            <w:tcBorders>
              <w:top w:val="single" w:sz="4"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968</w:t>
            </w:r>
          </w:p>
        </w:tc>
        <w:tc>
          <w:tcPr>
            <w:tcW w:w="2268" w:type="dxa"/>
            <w:tcBorders>
              <w:top w:val="single" w:sz="4"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0</w:t>
            </w:r>
          </w:p>
        </w:tc>
        <w:tc>
          <w:tcPr>
            <w:tcW w:w="992" w:type="dxa"/>
            <w:tcBorders>
              <w:top w:val="single" w:sz="4"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968</w:t>
            </w:r>
          </w:p>
        </w:tc>
        <w:tc>
          <w:tcPr>
            <w:tcW w:w="2126" w:type="dxa"/>
            <w:tcBorders>
              <w:top w:val="single" w:sz="4"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100</w:t>
            </w:r>
          </w:p>
        </w:tc>
      </w:tr>
      <w:tr w:rsidR="001D0450" w:rsidRPr="00B92503" w:rsidTr="00F92E05">
        <w:trPr>
          <w:trHeight w:val="300"/>
        </w:trPr>
        <w:tc>
          <w:tcPr>
            <w:tcW w:w="1731" w:type="dxa"/>
            <w:tcBorders>
              <w:top w:val="single" w:sz="6" w:space="0" w:color="auto"/>
              <w:left w:val="single" w:sz="6" w:space="0" w:color="auto"/>
              <w:bottom w:val="single" w:sz="6" w:space="0" w:color="auto"/>
              <w:right w:val="single" w:sz="6" w:space="0" w:color="auto"/>
            </w:tcBorders>
            <w:shd w:val="clear" w:color="auto" w:fill="DAEEF3"/>
            <w:vAlign w:val="center"/>
          </w:tcPr>
          <w:p w:rsidR="00D823C4" w:rsidRPr="00B92503" w:rsidRDefault="00D823C4" w:rsidP="00B92503">
            <w:pPr>
              <w:autoSpaceDE w:val="0"/>
              <w:autoSpaceDN w:val="0"/>
              <w:adjustRightInd w:val="0"/>
              <w:jc w:val="center"/>
              <w:rPr>
                <w:rFonts w:cs="Arial"/>
                <w:color w:val="000000"/>
                <w:szCs w:val="24"/>
                <w:lang w:val="en-US"/>
              </w:rPr>
            </w:pPr>
            <w:r w:rsidRPr="00B92503">
              <w:rPr>
                <w:rFonts w:cs="Arial"/>
                <w:color w:val="000000"/>
                <w:szCs w:val="24"/>
                <w:lang w:val="en-US"/>
              </w:rPr>
              <w:t>20-39</w:t>
            </w:r>
          </w:p>
        </w:tc>
        <w:tc>
          <w:tcPr>
            <w:tcW w:w="1988"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573</w:t>
            </w:r>
          </w:p>
        </w:tc>
        <w:tc>
          <w:tcPr>
            <w:tcW w:w="2268"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4</w:t>
            </w:r>
          </w:p>
        </w:tc>
        <w:tc>
          <w:tcPr>
            <w:tcW w:w="992"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577</w:t>
            </w:r>
          </w:p>
        </w:tc>
        <w:tc>
          <w:tcPr>
            <w:tcW w:w="2126"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99</w:t>
            </w:r>
            <w:r w:rsidR="00F92E05">
              <w:rPr>
                <w:rFonts w:cs="Arial"/>
                <w:color w:val="000000"/>
                <w:szCs w:val="24"/>
                <w:lang w:val="en-US"/>
              </w:rPr>
              <w:t>,</w:t>
            </w:r>
            <w:r w:rsidRPr="00B92503">
              <w:rPr>
                <w:rFonts w:cs="Arial"/>
                <w:color w:val="000000"/>
                <w:szCs w:val="24"/>
                <w:lang w:val="en-US"/>
              </w:rPr>
              <w:t>3</w:t>
            </w:r>
          </w:p>
        </w:tc>
      </w:tr>
      <w:tr w:rsidR="001D0450" w:rsidRPr="00B92503" w:rsidTr="00F92E05">
        <w:trPr>
          <w:trHeight w:val="300"/>
        </w:trPr>
        <w:tc>
          <w:tcPr>
            <w:tcW w:w="1731" w:type="dxa"/>
            <w:tcBorders>
              <w:top w:val="single" w:sz="6" w:space="0" w:color="auto"/>
              <w:left w:val="single" w:sz="6" w:space="0" w:color="auto"/>
              <w:bottom w:val="single" w:sz="6" w:space="0" w:color="auto"/>
              <w:right w:val="single" w:sz="6" w:space="0" w:color="auto"/>
            </w:tcBorders>
            <w:shd w:val="clear" w:color="auto" w:fill="DAEEF3"/>
            <w:vAlign w:val="center"/>
          </w:tcPr>
          <w:p w:rsidR="00D823C4" w:rsidRPr="00B92503" w:rsidRDefault="00D823C4" w:rsidP="00B92503">
            <w:pPr>
              <w:autoSpaceDE w:val="0"/>
              <w:autoSpaceDN w:val="0"/>
              <w:adjustRightInd w:val="0"/>
              <w:jc w:val="center"/>
              <w:rPr>
                <w:rFonts w:cs="Arial"/>
                <w:color w:val="000000"/>
                <w:szCs w:val="24"/>
                <w:lang w:val="en-US"/>
              </w:rPr>
            </w:pPr>
            <w:r w:rsidRPr="00B92503">
              <w:rPr>
                <w:rFonts w:cs="Arial"/>
                <w:color w:val="000000"/>
                <w:szCs w:val="24"/>
                <w:lang w:val="en-US"/>
              </w:rPr>
              <w:t>40-59</w:t>
            </w:r>
          </w:p>
        </w:tc>
        <w:tc>
          <w:tcPr>
            <w:tcW w:w="1988"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1</w:t>
            </w:r>
            <w:r w:rsidR="00F92E05">
              <w:rPr>
                <w:rFonts w:cs="Arial"/>
                <w:color w:val="000000"/>
                <w:szCs w:val="24"/>
                <w:lang w:val="en-US"/>
              </w:rPr>
              <w:t>,</w:t>
            </w:r>
            <w:r w:rsidRPr="00B92503">
              <w:rPr>
                <w:rFonts w:cs="Arial"/>
                <w:color w:val="000000"/>
                <w:szCs w:val="24"/>
                <w:lang w:val="en-US"/>
              </w:rPr>
              <w:t>177</w:t>
            </w:r>
          </w:p>
        </w:tc>
        <w:tc>
          <w:tcPr>
            <w:tcW w:w="2268"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57</w:t>
            </w:r>
          </w:p>
        </w:tc>
        <w:tc>
          <w:tcPr>
            <w:tcW w:w="992"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1</w:t>
            </w:r>
            <w:r w:rsidR="00F92E05">
              <w:rPr>
                <w:rFonts w:cs="Arial"/>
                <w:color w:val="000000"/>
                <w:szCs w:val="24"/>
                <w:lang w:val="en-US"/>
              </w:rPr>
              <w:t>,</w:t>
            </w:r>
            <w:r w:rsidRPr="00B92503">
              <w:rPr>
                <w:rFonts w:cs="Arial"/>
                <w:color w:val="000000"/>
                <w:szCs w:val="24"/>
                <w:lang w:val="en-US"/>
              </w:rPr>
              <w:t>234</w:t>
            </w:r>
          </w:p>
        </w:tc>
        <w:tc>
          <w:tcPr>
            <w:tcW w:w="2126"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95</w:t>
            </w:r>
            <w:r w:rsidR="00F92E05">
              <w:rPr>
                <w:rFonts w:cs="Arial"/>
                <w:color w:val="000000"/>
                <w:szCs w:val="24"/>
                <w:lang w:val="en-US"/>
              </w:rPr>
              <w:t>,</w:t>
            </w:r>
            <w:r w:rsidRPr="00B92503">
              <w:rPr>
                <w:rFonts w:cs="Arial"/>
                <w:color w:val="000000"/>
                <w:szCs w:val="24"/>
                <w:lang w:val="en-US"/>
              </w:rPr>
              <w:t>4</w:t>
            </w:r>
          </w:p>
        </w:tc>
      </w:tr>
      <w:tr w:rsidR="001D0450" w:rsidRPr="00B92503" w:rsidTr="00F92E05">
        <w:trPr>
          <w:trHeight w:val="300"/>
        </w:trPr>
        <w:tc>
          <w:tcPr>
            <w:tcW w:w="1731" w:type="dxa"/>
            <w:tcBorders>
              <w:top w:val="single" w:sz="6" w:space="0" w:color="auto"/>
              <w:left w:val="single" w:sz="6" w:space="0" w:color="auto"/>
              <w:bottom w:val="single" w:sz="6" w:space="0" w:color="auto"/>
              <w:right w:val="single" w:sz="6" w:space="0" w:color="auto"/>
            </w:tcBorders>
            <w:shd w:val="clear" w:color="auto" w:fill="DAEEF3"/>
            <w:vAlign w:val="center"/>
          </w:tcPr>
          <w:p w:rsidR="00D823C4" w:rsidRPr="00B92503" w:rsidRDefault="00D823C4" w:rsidP="00B92503">
            <w:pPr>
              <w:autoSpaceDE w:val="0"/>
              <w:autoSpaceDN w:val="0"/>
              <w:adjustRightInd w:val="0"/>
              <w:jc w:val="center"/>
              <w:rPr>
                <w:rFonts w:cs="Arial"/>
                <w:color w:val="000000"/>
                <w:szCs w:val="24"/>
                <w:lang w:val="en-US"/>
              </w:rPr>
            </w:pPr>
            <w:r w:rsidRPr="00B92503">
              <w:rPr>
                <w:rFonts w:cs="Arial"/>
                <w:color w:val="000000"/>
                <w:szCs w:val="24"/>
                <w:lang w:val="en-US"/>
              </w:rPr>
              <w:t>60-69</w:t>
            </w:r>
          </w:p>
        </w:tc>
        <w:tc>
          <w:tcPr>
            <w:tcW w:w="1988"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1</w:t>
            </w:r>
            <w:r w:rsidR="00F92E05">
              <w:rPr>
                <w:rFonts w:cs="Arial"/>
                <w:color w:val="000000"/>
                <w:szCs w:val="24"/>
                <w:lang w:val="en-US"/>
              </w:rPr>
              <w:t>,</w:t>
            </w:r>
            <w:r w:rsidRPr="00B92503">
              <w:rPr>
                <w:rFonts w:cs="Arial"/>
                <w:color w:val="000000"/>
                <w:szCs w:val="24"/>
                <w:lang w:val="en-US"/>
              </w:rPr>
              <w:t>057</w:t>
            </w:r>
          </w:p>
        </w:tc>
        <w:tc>
          <w:tcPr>
            <w:tcW w:w="2268"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201</w:t>
            </w:r>
          </w:p>
        </w:tc>
        <w:tc>
          <w:tcPr>
            <w:tcW w:w="992"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1</w:t>
            </w:r>
            <w:r w:rsidR="00F92E05">
              <w:rPr>
                <w:rFonts w:cs="Arial"/>
                <w:color w:val="000000"/>
                <w:szCs w:val="24"/>
                <w:lang w:val="en-US"/>
              </w:rPr>
              <w:t>,</w:t>
            </w:r>
            <w:r w:rsidRPr="00B92503">
              <w:rPr>
                <w:rFonts w:cs="Arial"/>
                <w:color w:val="000000"/>
                <w:szCs w:val="24"/>
                <w:lang w:val="en-US"/>
              </w:rPr>
              <w:t>258</w:t>
            </w:r>
          </w:p>
        </w:tc>
        <w:tc>
          <w:tcPr>
            <w:tcW w:w="2126"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84</w:t>
            </w:r>
            <w:r w:rsidR="00F92E05">
              <w:rPr>
                <w:rFonts w:cs="Arial"/>
                <w:color w:val="000000"/>
                <w:szCs w:val="24"/>
                <w:lang w:val="en-US"/>
              </w:rPr>
              <w:t>,</w:t>
            </w:r>
            <w:r w:rsidRPr="00B92503">
              <w:rPr>
                <w:rFonts w:cs="Arial"/>
                <w:color w:val="000000"/>
                <w:szCs w:val="24"/>
                <w:lang w:val="en-US"/>
              </w:rPr>
              <w:t>0</w:t>
            </w:r>
          </w:p>
        </w:tc>
      </w:tr>
      <w:tr w:rsidR="001D0450" w:rsidRPr="00B92503" w:rsidTr="00F92E05">
        <w:trPr>
          <w:trHeight w:val="300"/>
        </w:trPr>
        <w:tc>
          <w:tcPr>
            <w:tcW w:w="1731" w:type="dxa"/>
            <w:tcBorders>
              <w:top w:val="single" w:sz="6" w:space="0" w:color="auto"/>
              <w:left w:val="single" w:sz="6" w:space="0" w:color="auto"/>
              <w:bottom w:val="single" w:sz="6" w:space="0" w:color="auto"/>
              <w:right w:val="single" w:sz="6" w:space="0" w:color="auto"/>
            </w:tcBorders>
            <w:shd w:val="clear" w:color="auto" w:fill="DAEEF3"/>
            <w:vAlign w:val="center"/>
          </w:tcPr>
          <w:p w:rsidR="00D823C4" w:rsidRPr="00B92503" w:rsidRDefault="00D823C4" w:rsidP="00B92503">
            <w:pPr>
              <w:autoSpaceDE w:val="0"/>
              <w:autoSpaceDN w:val="0"/>
              <w:adjustRightInd w:val="0"/>
              <w:jc w:val="center"/>
              <w:rPr>
                <w:rFonts w:cs="Arial"/>
                <w:color w:val="000000"/>
                <w:szCs w:val="24"/>
                <w:lang w:val="en-US"/>
              </w:rPr>
            </w:pPr>
            <w:r w:rsidRPr="00B92503">
              <w:rPr>
                <w:rFonts w:cs="Arial"/>
                <w:color w:val="000000"/>
                <w:szCs w:val="24"/>
                <w:lang w:val="en-US"/>
              </w:rPr>
              <w:t>70-79</w:t>
            </w:r>
          </w:p>
        </w:tc>
        <w:tc>
          <w:tcPr>
            <w:tcW w:w="1988"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1</w:t>
            </w:r>
            <w:r w:rsidR="00F92E05">
              <w:rPr>
                <w:rFonts w:cs="Arial"/>
                <w:color w:val="000000"/>
                <w:szCs w:val="24"/>
                <w:lang w:val="en-US"/>
              </w:rPr>
              <w:t>,</w:t>
            </w:r>
            <w:r w:rsidRPr="00B92503">
              <w:rPr>
                <w:rFonts w:cs="Arial"/>
                <w:color w:val="000000"/>
                <w:szCs w:val="24"/>
                <w:lang w:val="en-US"/>
              </w:rPr>
              <w:t>769</w:t>
            </w:r>
          </w:p>
        </w:tc>
        <w:tc>
          <w:tcPr>
            <w:tcW w:w="2268"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653</w:t>
            </w:r>
          </w:p>
        </w:tc>
        <w:tc>
          <w:tcPr>
            <w:tcW w:w="992"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2</w:t>
            </w:r>
            <w:r w:rsidR="00F92E05">
              <w:rPr>
                <w:rFonts w:cs="Arial"/>
                <w:color w:val="000000"/>
                <w:szCs w:val="24"/>
                <w:lang w:val="en-US"/>
              </w:rPr>
              <w:t>,</w:t>
            </w:r>
            <w:r w:rsidRPr="00B92503">
              <w:rPr>
                <w:rFonts w:cs="Arial"/>
                <w:color w:val="000000"/>
                <w:szCs w:val="24"/>
                <w:lang w:val="en-US"/>
              </w:rPr>
              <w:t>422</w:t>
            </w:r>
          </w:p>
        </w:tc>
        <w:tc>
          <w:tcPr>
            <w:tcW w:w="2126"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73</w:t>
            </w:r>
            <w:r w:rsidR="00F92E05">
              <w:rPr>
                <w:rFonts w:cs="Arial"/>
                <w:color w:val="000000"/>
                <w:szCs w:val="24"/>
                <w:lang w:val="en-US"/>
              </w:rPr>
              <w:t>,</w:t>
            </w:r>
            <w:r w:rsidRPr="00B92503">
              <w:rPr>
                <w:rFonts w:cs="Arial"/>
                <w:color w:val="000000"/>
                <w:szCs w:val="24"/>
                <w:lang w:val="en-US"/>
              </w:rPr>
              <w:t>0</w:t>
            </w:r>
          </w:p>
        </w:tc>
      </w:tr>
      <w:tr w:rsidR="001D0450" w:rsidRPr="00B92503" w:rsidTr="00F92E05">
        <w:trPr>
          <w:trHeight w:val="300"/>
        </w:trPr>
        <w:tc>
          <w:tcPr>
            <w:tcW w:w="1731" w:type="dxa"/>
            <w:tcBorders>
              <w:top w:val="single" w:sz="6" w:space="0" w:color="auto"/>
              <w:left w:val="single" w:sz="6" w:space="0" w:color="auto"/>
              <w:bottom w:val="single" w:sz="6" w:space="0" w:color="auto"/>
              <w:right w:val="single" w:sz="6" w:space="0" w:color="auto"/>
            </w:tcBorders>
            <w:shd w:val="clear" w:color="auto" w:fill="DAEEF3"/>
            <w:vAlign w:val="center"/>
          </w:tcPr>
          <w:p w:rsidR="00D823C4" w:rsidRPr="00B92503" w:rsidRDefault="00D823C4" w:rsidP="00B92503">
            <w:pPr>
              <w:autoSpaceDE w:val="0"/>
              <w:autoSpaceDN w:val="0"/>
              <w:adjustRightInd w:val="0"/>
              <w:jc w:val="center"/>
              <w:rPr>
                <w:rFonts w:cs="Arial"/>
                <w:color w:val="000000"/>
                <w:szCs w:val="24"/>
                <w:lang w:val="en-US"/>
              </w:rPr>
            </w:pPr>
            <w:r w:rsidRPr="00B92503">
              <w:rPr>
                <w:rFonts w:cs="Arial"/>
                <w:color w:val="000000"/>
                <w:szCs w:val="24"/>
                <w:lang w:val="en-US"/>
              </w:rPr>
              <w:t>80-89</w:t>
            </w:r>
          </w:p>
        </w:tc>
        <w:tc>
          <w:tcPr>
            <w:tcW w:w="1988"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2</w:t>
            </w:r>
            <w:r w:rsidR="00F92E05">
              <w:rPr>
                <w:rFonts w:cs="Arial"/>
                <w:color w:val="000000"/>
                <w:szCs w:val="24"/>
                <w:lang w:val="en-US"/>
              </w:rPr>
              <w:t>,</w:t>
            </w:r>
            <w:r w:rsidRPr="00B92503">
              <w:rPr>
                <w:rFonts w:cs="Arial"/>
                <w:color w:val="000000"/>
                <w:szCs w:val="24"/>
                <w:lang w:val="en-US"/>
              </w:rPr>
              <w:t>858</w:t>
            </w:r>
          </w:p>
        </w:tc>
        <w:tc>
          <w:tcPr>
            <w:tcW w:w="2268"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2</w:t>
            </w:r>
            <w:r w:rsidR="00F92E05">
              <w:rPr>
                <w:rFonts w:cs="Arial"/>
                <w:color w:val="000000"/>
                <w:szCs w:val="24"/>
                <w:lang w:val="en-US"/>
              </w:rPr>
              <w:t>,</w:t>
            </w:r>
            <w:r w:rsidRPr="00B92503">
              <w:rPr>
                <w:rFonts w:cs="Arial"/>
                <w:color w:val="000000"/>
                <w:szCs w:val="24"/>
                <w:lang w:val="en-US"/>
              </w:rPr>
              <w:t>394</w:t>
            </w:r>
          </w:p>
        </w:tc>
        <w:tc>
          <w:tcPr>
            <w:tcW w:w="992"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5</w:t>
            </w:r>
            <w:r w:rsidR="00F92E05">
              <w:rPr>
                <w:rFonts w:cs="Arial"/>
                <w:color w:val="000000"/>
                <w:szCs w:val="24"/>
                <w:lang w:val="en-US"/>
              </w:rPr>
              <w:t>,</w:t>
            </w:r>
            <w:r w:rsidRPr="00B92503">
              <w:rPr>
                <w:rFonts w:cs="Arial"/>
                <w:color w:val="000000"/>
                <w:szCs w:val="24"/>
                <w:lang w:val="en-US"/>
              </w:rPr>
              <w:t>252</w:t>
            </w:r>
          </w:p>
        </w:tc>
        <w:tc>
          <w:tcPr>
            <w:tcW w:w="2126"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54</w:t>
            </w:r>
            <w:r w:rsidR="00F92E05">
              <w:rPr>
                <w:rFonts w:cs="Arial"/>
                <w:color w:val="000000"/>
                <w:szCs w:val="24"/>
                <w:lang w:val="en-US"/>
              </w:rPr>
              <w:t>,</w:t>
            </w:r>
            <w:r w:rsidRPr="00B92503">
              <w:rPr>
                <w:rFonts w:cs="Arial"/>
                <w:color w:val="000000"/>
                <w:szCs w:val="24"/>
                <w:lang w:val="en-US"/>
              </w:rPr>
              <w:t>4</w:t>
            </w:r>
          </w:p>
        </w:tc>
      </w:tr>
      <w:tr w:rsidR="001D0450" w:rsidRPr="00B92503" w:rsidTr="00F92E05">
        <w:trPr>
          <w:trHeight w:val="300"/>
        </w:trPr>
        <w:tc>
          <w:tcPr>
            <w:tcW w:w="1731" w:type="dxa"/>
            <w:tcBorders>
              <w:top w:val="single" w:sz="6" w:space="0" w:color="auto"/>
              <w:left w:val="single" w:sz="6" w:space="0" w:color="auto"/>
              <w:bottom w:val="single" w:sz="6" w:space="0" w:color="auto"/>
              <w:right w:val="single" w:sz="6" w:space="0" w:color="auto"/>
            </w:tcBorders>
            <w:shd w:val="clear" w:color="auto" w:fill="DAEEF3"/>
            <w:vAlign w:val="center"/>
          </w:tcPr>
          <w:p w:rsidR="00D823C4" w:rsidRPr="00B92503" w:rsidRDefault="00D823C4" w:rsidP="00B92503">
            <w:pPr>
              <w:autoSpaceDE w:val="0"/>
              <w:autoSpaceDN w:val="0"/>
              <w:adjustRightInd w:val="0"/>
              <w:jc w:val="center"/>
              <w:rPr>
                <w:rFonts w:cs="Arial"/>
                <w:color w:val="000000"/>
                <w:szCs w:val="24"/>
                <w:lang w:val="en-US"/>
              </w:rPr>
            </w:pPr>
            <w:r w:rsidRPr="00B92503">
              <w:rPr>
                <w:rFonts w:cs="Arial"/>
                <w:color w:val="000000"/>
                <w:szCs w:val="24"/>
                <w:lang w:val="en-US"/>
              </w:rPr>
              <w:t>&gt;=90</w:t>
            </w:r>
          </w:p>
        </w:tc>
        <w:tc>
          <w:tcPr>
            <w:tcW w:w="1988"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780</w:t>
            </w:r>
          </w:p>
        </w:tc>
        <w:tc>
          <w:tcPr>
            <w:tcW w:w="2268"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1</w:t>
            </w:r>
            <w:r w:rsidR="00F92E05">
              <w:rPr>
                <w:rFonts w:cs="Arial"/>
                <w:color w:val="000000"/>
                <w:szCs w:val="24"/>
                <w:lang w:val="en-US"/>
              </w:rPr>
              <w:t>,</w:t>
            </w:r>
            <w:r w:rsidRPr="00B92503">
              <w:rPr>
                <w:rFonts w:cs="Arial"/>
                <w:color w:val="000000"/>
                <w:szCs w:val="24"/>
                <w:lang w:val="en-US"/>
              </w:rPr>
              <w:t>251</w:t>
            </w:r>
          </w:p>
        </w:tc>
        <w:tc>
          <w:tcPr>
            <w:tcW w:w="992"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2</w:t>
            </w:r>
            <w:r w:rsidR="00F92E05">
              <w:rPr>
                <w:rFonts w:cs="Arial"/>
                <w:color w:val="000000"/>
                <w:szCs w:val="24"/>
                <w:lang w:val="en-US"/>
              </w:rPr>
              <w:t>,</w:t>
            </w:r>
            <w:r w:rsidRPr="00B92503">
              <w:rPr>
                <w:rFonts w:cs="Arial"/>
                <w:color w:val="000000"/>
                <w:szCs w:val="24"/>
                <w:lang w:val="en-US"/>
              </w:rPr>
              <w:t>031</w:t>
            </w:r>
          </w:p>
        </w:tc>
        <w:tc>
          <w:tcPr>
            <w:tcW w:w="2126"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38</w:t>
            </w:r>
            <w:r w:rsidR="00F92E05">
              <w:rPr>
                <w:rFonts w:cs="Arial"/>
                <w:color w:val="000000"/>
                <w:szCs w:val="24"/>
                <w:lang w:val="en-US"/>
              </w:rPr>
              <w:t>,</w:t>
            </w:r>
            <w:r w:rsidRPr="00B92503">
              <w:rPr>
                <w:rFonts w:cs="Arial"/>
                <w:color w:val="000000"/>
                <w:szCs w:val="24"/>
                <w:lang w:val="en-US"/>
              </w:rPr>
              <w:t>4</w:t>
            </w:r>
          </w:p>
        </w:tc>
      </w:tr>
      <w:tr w:rsidR="001D0450" w:rsidRPr="00B92503" w:rsidTr="00F92E05">
        <w:trPr>
          <w:trHeight w:val="300"/>
        </w:trPr>
        <w:tc>
          <w:tcPr>
            <w:tcW w:w="1731" w:type="dxa"/>
            <w:tcBorders>
              <w:top w:val="single" w:sz="6" w:space="0" w:color="auto"/>
              <w:left w:val="single" w:sz="6" w:space="0" w:color="auto"/>
              <w:bottom w:val="single" w:sz="6" w:space="0" w:color="auto"/>
              <w:right w:val="single" w:sz="6" w:space="0" w:color="auto"/>
            </w:tcBorders>
            <w:shd w:val="clear" w:color="auto" w:fill="DAEEF3"/>
            <w:vAlign w:val="center"/>
          </w:tcPr>
          <w:p w:rsidR="00D823C4" w:rsidRPr="00B92503" w:rsidRDefault="00D823C4" w:rsidP="00B92503">
            <w:pPr>
              <w:autoSpaceDE w:val="0"/>
              <w:autoSpaceDN w:val="0"/>
              <w:adjustRightInd w:val="0"/>
              <w:jc w:val="center"/>
              <w:rPr>
                <w:rFonts w:cs="Arial"/>
                <w:color w:val="000000"/>
                <w:szCs w:val="24"/>
                <w:lang w:val="en-US"/>
              </w:rPr>
            </w:pPr>
            <w:r w:rsidRPr="00B92503">
              <w:rPr>
                <w:rFonts w:cs="Arial"/>
                <w:color w:val="000000"/>
                <w:szCs w:val="24"/>
                <w:lang w:val="en-US"/>
              </w:rPr>
              <w:t>All</w:t>
            </w:r>
          </w:p>
        </w:tc>
        <w:tc>
          <w:tcPr>
            <w:tcW w:w="1988"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9</w:t>
            </w:r>
            <w:r w:rsidR="00F92E05">
              <w:rPr>
                <w:rFonts w:cs="Arial"/>
                <w:color w:val="000000"/>
                <w:szCs w:val="24"/>
                <w:lang w:val="en-US"/>
              </w:rPr>
              <w:t>,</w:t>
            </w:r>
            <w:r w:rsidRPr="00B92503">
              <w:rPr>
                <w:rFonts w:cs="Arial"/>
                <w:color w:val="000000"/>
                <w:szCs w:val="24"/>
                <w:lang w:val="en-US"/>
              </w:rPr>
              <w:t>182</w:t>
            </w:r>
          </w:p>
        </w:tc>
        <w:tc>
          <w:tcPr>
            <w:tcW w:w="2268"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4</w:t>
            </w:r>
            <w:r w:rsidR="00F92E05">
              <w:rPr>
                <w:rFonts w:cs="Arial"/>
                <w:color w:val="000000"/>
                <w:szCs w:val="24"/>
                <w:lang w:val="en-US"/>
              </w:rPr>
              <w:t>,</w:t>
            </w:r>
            <w:r w:rsidRPr="00B92503">
              <w:rPr>
                <w:rFonts w:cs="Arial"/>
                <w:color w:val="000000"/>
                <w:szCs w:val="24"/>
                <w:lang w:val="en-US"/>
              </w:rPr>
              <w:t>560</w:t>
            </w:r>
          </w:p>
        </w:tc>
        <w:tc>
          <w:tcPr>
            <w:tcW w:w="992"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13</w:t>
            </w:r>
            <w:r w:rsidR="00F92E05">
              <w:rPr>
                <w:rFonts w:cs="Arial"/>
                <w:color w:val="000000"/>
                <w:szCs w:val="24"/>
                <w:lang w:val="en-US"/>
              </w:rPr>
              <w:t>,</w:t>
            </w:r>
            <w:r w:rsidRPr="00B92503">
              <w:rPr>
                <w:rFonts w:cs="Arial"/>
                <w:color w:val="000000"/>
                <w:szCs w:val="24"/>
                <w:lang w:val="en-US"/>
              </w:rPr>
              <w:t>742</w:t>
            </w:r>
          </w:p>
        </w:tc>
        <w:tc>
          <w:tcPr>
            <w:tcW w:w="2126" w:type="dxa"/>
            <w:tcBorders>
              <w:top w:val="single" w:sz="6" w:space="0" w:color="auto"/>
              <w:left w:val="single" w:sz="6" w:space="0" w:color="auto"/>
              <w:bottom w:val="single" w:sz="6" w:space="0" w:color="auto"/>
              <w:right w:val="single" w:sz="6" w:space="0" w:color="auto"/>
            </w:tcBorders>
            <w:vAlign w:val="center"/>
          </w:tcPr>
          <w:p w:rsidR="00D823C4" w:rsidRPr="00B92503" w:rsidRDefault="00D823C4" w:rsidP="00F92E05">
            <w:pPr>
              <w:autoSpaceDE w:val="0"/>
              <w:autoSpaceDN w:val="0"/>
              <w:adjustRightInd w:val="0"/>
              <w:jc w:val="right"/>
              <w:rPr>
                <w:rFonts w:cs="Arial"/>
                <w:color w:val="000000"/>
                <w:szCs w:val="24"/>
                <w:lang w:val="en-US"/>
              </w:rPr>
            </w:pPr>
            <w:r w:rsidRPr="00B92503">
              <w:rPr>
                <w:rFonts w:cs="Arial"/>
                <w:color w:val="000000"/>
                <w:szCs w:val="24"/>
                <w:lang w:val="en-US"/>
              </w:rPr>
              <w:t>66</w:t>
            </w:r>
            <w:r w:rsidR="00F92E05">
              <w:rPr>
                <w:rFonts w:cs="Arial"/>
                <w:color w:val="000000"/>
                <w:szCs w:val="24"/>
                <w:lang w:val="en-US"/>
              </w:rPr>
              <w:t>,</w:t>
            </w:r>
            <w:r w:rsidRPr="00B92503">
              <w:rPr>
                <w:rFonts w:cs="Arial"/>
                <w:color w:val="000000"/>
                <w:szCs w:val="24"/>
                <w:lang w:val="en-US"/>
              </w:rPr>
              <w:t>8</w:t>
            </w:r>
          </w:p>
        </w:tc>
      </w:tr>
    </w:tbl>
    <w:p w:rsidR="00693D1A" w:rsidRPr="00B92503" w:rsidRDefault="00693D1A" w:rsidP="00B92503">
      <w:pPr>
        <w:rPr>
          <w:rFonts w:cs="Arial"/>
          <w:szCs w:val="24"/>
          <w:lang w:val="fr-CH"/>
        </w:rPr>
      </w:pPr>
      <w:proofErr w:type="gramStart"/>
      <w:r w:rsidRPr="00B92503">
        <w:rPr>
          <w:rFonts w:cs="Arial"/>
          <w:szCs w:val="24"/>
          <w:lang w:val="fr-CH"/>
        </w:rPr>
        <w:lastRenderedPageBreak/>
        <w:t>Source</w:t>
      </w:r>
      <w:r w:rsidR="004012F3" w:rsidRPr="00B92503">
        <w:rPr>
          <w:rFonts w:cs="Arial"/>
          <w:szCs w:val="24"/>
          <w:lang w:val="fr-CH"/>
        </w:rPr>
        <w:t>:</w:t>
      </w:r>
      <w:proofErr w:type="gramEnd"/>
      <w:r w:rsidRPr="00B92503">
        <w:rPr>
          <w:rFonts w:cs="Arial"/>
          <w:szCs w:val="24"/>
          <w:lang w:val="fr-CH"/>
        </w:rPr>
        <w:t xml:space="preserve"> </w:t>
      </w:r>
      <w:r w:rsidR="004012F3" w:rsidRPr="00B92503">
        <w:rPr>
          <w:rFonts w:cs="Arial"/>
          <w:szCs w:val="24"/>
          <w:lang w:val="fr-CH"/>
        </w:rPr>
        <w:t xml:space="preserve">Social </w:t>
      </w:r>
      <w:proofErr w:type="spellStart"/>
      <w:r w:rsidR="004012F3" w:rsidRPr="00B92503">
        <w:rPr>
          <w:rFonts w:cs="Arial"/>
          <w:szCs w:val="24"/>
          <w:lang w:val="fr-CH"/>
        </w:rPr>
        <w:t>insurance</w:t>
      </w:r>
      <w:proofErr w:type="spellEnd"/>
      <w:r w:rsidR="004012F3" w:rsidRPr="00B92503">
        <w:rPr>
          <w:rFonts w:cs="Arial"/>
          <w:szCs w:val="24"/>
          <w:lang w:val="fr-CH"/>
        </w:rPr>
        <w:t xml:space="preserve"> (</w:t>
      </w:r>
      <w:proofErr w:type="spellStart"/>
      <w:r w:rsidRPr="00B92503">
        <w:rPr>
          <w:rFonts w:cs="Arial"/>
          <w:szCs w:val="24"/>
          <w:lang w:val="fr-CH"/>
        </w:rPr>
        <w:t>Securité</w:t>
      </w:r>
      <w:proofErr w:type="spellEnd"/>
      <w:r w:rsidRPr="00B92503">
        <w:rPr>
          <w:rFonts w:cs="Arial"/>
          <w:szCs w:val="24"/>
          <w:lang w:val="fr-CH"/>
        </w:rPr>
        <w:t xml:space="preserve"> social</w:t>
      </w:r>
      <w:r w:rsidR="00720FE1" w:rsidRPr="00B92503">
        <w:rPr>
          <w:rFonts w:cs="Arial"/>
          <w:szCs w:val="24"/>
          <w:lang w:val="fr-CH"/>
        </w:rPr>
        <w:t xml:space="preserve"> 2017</w:t>
      </w:r>
      <w:r w:rsidR="004012F3" w:rsidRPr="00B92503">
        <w:rPr>
          <w:rFonts w:cs="Arial"/>
          <w:szCs w:val="24"/>
          <w:lang w:val="fr-CH"/>
        </w:rPr>
        <w:t>)</w:t>
      </w:r>
      <w:r w:rsidRPr="00B92503">
        <w:rPr>
          <w:rStyle w:val="FootnoteReference"/>
          <w:rFonts w:cs="Arial"/>
          <w:sz w:val="24"/>
          <w:szCs w:val="24"/>
        </w:rPr>
        <w:footnoteReference w:id="32"/>
      </w:r>
    </w:p>
    <w:p w:rsidR="00EF01D9" w:rsidRPr="00B92503" w:rsidRDefault="00EF01D9" w:rsidP="00B92503">
      <w:pPr>
        <w:rPr>
          <w:rFonts w:cs="Arial"/>
          <w:szCs w:val="24"/>
          <w:lang w:val="fr-CH"/>
        </w:rPr>
      </w:pPr>
    </w:p>
    <w:p w:rsidR="00693D1A" w:rsidRPr="00B92503" w:rsidRDefault="00693D1A" w:rsidP="00B92503">
      <w:pPr>
        <w:rPr>
          <w:rFonts w:cs="Arial"/>
          <w:szCs w:val="24"/>
        </w:rPr>
      </w:pPr>
      <w:r w:rsidRPr="00B92503">
        <w:rPr>
          <w:rFonts w:cs="Arial"/>
          <w:szCs w:val="24"/>
        </w:rPr>
        <w:t xml:space="preserve">Comparing institutional care and home care are compiled in last column by the author. </w:t>
      </w:r>
      <w:r w:rsidR="00DB47E6" w:rsidRPr="00B92503">
        <w:rPr>
          <w:rFonts w:cs="Arial"/>
          <w:szCs w:val="24"/>
        </w:rPr>
        <w:t>As the data show, domestic care decreases with age</w:t>
      </w:r>
      <w:r w:rsidR="00967A24" w:rsidRPr="00B92503">
        <w:rPr>
          <w:rFonts w:cs="Arial"/>
          <w:szCs w:val="24"/>
        </w:rPr>
        <w:t>.</w:t>
      </w:r>
      <w:r w:rsidR="00DB47E6" w:rsidRPr="00B92503">
        <w:rPr>
          <w:rFonts w:cs="Arial"/>
          <w:szCs w:val="24"/>
        </w:rPr>
        <w:t xml:space="preserve"> This suggests that independent living seems increasingly difficult in old age and may be as well more difficult for people with disabilities.</w:t>
      </w:r>
      <w:r w:rsidR="0068389A" w:rsidRPr="00B92503">
        <w:rPr>
          <w:rFonts w:cs="Arial"/>
          <w:szCs w:val="24"/>
        </w:rPr>
        <w:t xml:space="preserve"> According to this social security </w:t>
      </w:r>
      <w:r w:rsidR="00967A24" w:rsidRPr="00B92503">
        <w:rPr>
          <w:rFonts w:cs="Arial"/>
          <w:szCs w:val="24"/>
        </w:rPr>
        <w:t>data compilation</w:t>
      </w:r>
      <w:r w:rsidR="0068389A" w:rsidRPr="00B92503">
        <w:rPr>
          <w:rFonts w:cs="Arial"/>
          <w:szCs w:val="24"/>
        </w:rPr>
        <w:t>, one third (33</w:t>
      </w:r>
      <w:r w:rsidR="00F92E05">
        <w:rPr>
          <w:rFonts w:cs="Arial"/>
          <w:szCs w:val="24"/>
        </w:rPr>
        <w:t>.</w:t>
      </w:r>
      <w:r w:rsidR="0068389A" w:rsidRPr="00B92503">
        <w:rPr>
          <w:rFonts w:cs="Arial"/>
          <w:szCs w:val="24"/>
        </w:rPr>
        <w:t xml:space="preserve">2%) of all persons (all age groups) who receive assistance through the insurance live </w:t>
      </w:r>
      <w:r w:rsidR="00E1309A" w:rsidRPr="00B92503">
        <w:rPr>
          <w:rFonts w:cs="Arial"/>
          <w:szCs w:val="24"/>
        </w:rPr>
        <w:t>independent</w:t>
      </w:r>
      <w:r w:rsidR="008B29A9" w:rsidRPr="00B92503">
        <w:rPr>
          <w:rFonts w:cs="Arial"/>
          <w:szCs w:val="24"/>
        </w:rPr>
        <w:t>ly</w:t>
      </w:r>
      <w:r w:rsidR="0068389A" w:rsidRPr="00B92503">
        <w:rPr>
          <w:rFonts w:cs="Arial"/>
          <w:szCs w:val="24"/>
        </w:rPr>
        <w:t xml:space="preserve"> in 2016. </w:t>
      </w:r>
      <w:r w:rsidR="0072154D" w:rsidRPr="00B92503">
        <w:rPr>
          <w:rFonts w:cs="Arial"/>
          <w:szCs w:val="24"/>
        </w:rPr>
        <w:t>This represents an increase of 0</w:t>
      </w:r>
      <w:r w:rsidR="00F92E05">
        <w:rPr>
          <w:rFonts w:cs="Arial"/>
          <w:szCs w:val="24"/>
        </w:rPr>
        <w:t>.</w:t>
      </w:r>
      <w:r w:rsidR="0072154D" w:rsidRPr="00B92503">
        <w:rPr>
          <w:rFonts w:cs="Arial"/>
          <w:szCs w:val="24"/>
        </w:rPr>
        <w:t>8% compared to the first country report (2014), which reported a proportion of 32</w:t>
      </w:r>
      <w:r w:rsidR="00F92E05">
        <w:rPr>
          <w:rFonts w:cs="Arial"/>
          <w:szCs w:val="24"/>
        </w:rPr>
        <w:t>.</w:t>
      </w:r>
      <w:r w:rsidR="0072154D" w:rsidRPr="00B92503">
        <w:rPr>
          <w:rFonts w:cs="Arial"/>
          <w:szCs w:val="24"/>
        </w:rPr>
        <w:t>4% based on data end of 2011.</w:t>
      </w:r>
      <w:r w:rsidR="00736524" w:rsidRPr="00B92503">
        <w:rPr>
          <w:rFonts w:cs="Arial"/>
          <w:szCs w:val="24"/>
        </w:rPr>
        <w:t xml:space="preserve"> </w:t>
      </w:r>
      <w:r w:rsidR="000C6C04" w:rsidRPr="00B92503">
        <w:rPr>
          <w:rFonts w:cs="Arial"/>
          <w:szCs w:val="24"/>
        </w:rPr>
        <w:t xml:space="preserve">However, most of these data do not include persons with cognitive impairments, since there are usually hardly any claims for support from the long-term care insurance. Therefore, the </w:t>
      </w:r>
      <w:r w:rsidR="00B134C7" w:rsidRPr="00B92503">
        <w:rPr>
          <w:rFonts w:cs="Arial"/>
          <w:szCs w:val="24"/>
        </w:rPr>
        <w:t xml:space="preserve">“de facto” </w:t>
      </w:r>
      <w:r w:rsidR="000C6C04" w:rsidRPr="00B92503">
        <w:rPr>
          <w:rFonts w:cs="Arial"/>
          <w:szCs w:val="24"/>
        </w:rPr>
        <w:t xml:space="preserve">percentage of people </w:t>
      </w:r>
      <w:r w:rsidR="00B134C7" w:rsidRPr="00B92503">
        <w:rPr>
          <w:rFonts w:cs="Arial"/>
          <w:szCs w:val="24"/>
        </w:rPr>
        <w:t xml:space="preserve">with disabilities </w:t>
      </w:r>
      <w:r w:rsidR="000C6C04" w:rsidRPr="00B92503">
        <w:rPr>
          <w:rFonts w:cs="Arial"/>
          <w:szCs w:val="24"/>
        </w:rPr>
        <w:t>living in institutions might be higher than two thirds.</w:t>
      </w:r>
    </w:p>
    <w:p w:rsidR="00EF01D9" w:rsidRPr="00B92503" w:rsidRDefault="00EF01D9" w:rsidP="00B92503">
      <w:pPr>
        <w:rPr>
          <w:rFonts w:cs="Arial"/>
          <w:szCs w:val="24"/>
        </w:rPr>
      </w:pPr>
    </w:p>
    <w:p w:rsidR="001038A5" w:rsidRPr="00B92503" w:rsidRDefault="00B7174F" w:rsidP="00F92E05">
      <w:r w:rsidRPr="00B92503">
        <w:t>The Ministry of Family Affairs</w:t>
      </w:r>
      <w:r w:rsidRPr="00B92503">
        <w:rPr>
          <w:rStyle w:val="FootnoteReference"/>
          <w:sz w:val="24"/>
        </w:rPr>
        <w:footnoteReference w:id="33"/>
      </w:r>
      <w:r w:rsidRPr="00B92503">
        <w:t xml:space="preserve"> publishes annual figures on persons with disabilities who wish to use their specific housing structures and </w:t>
      </w:r>
      <w:r w:rsidR="00967A24" w:rsidRPr="00B92503">
        <w:t xml:space="preserve">ask for </w:t>
      </w:r>
      <w:r w:rsidRPr="00B92503">
        <w:t xml:space="preserve">accompanying services. </w:t>
      </w:r>
      <w:r w:rsidR="004C02E6" w:rsidRPr="00B92503">
        <w:t xml:space="preserve">The Ministry's annual statistical data is usually broken down into three different housing structures for people with disabilities: 1) </w:t>
      </w:r>
      <w:r w:rsidR="00C70E4F" w:rsidRPr="00B92503">
        <w:t xml:space="preserve">fully institutionalised structures (living in the institution), </w:t>
      </w:r>
      <w:r w:rsidR="00A75E9C" w:rsidRPr="00B92503">
        <w:t xml:space="preserve">2) </w:t>
      </w:r>
      <w:r w:rsidR="00C70E4F" w:rsidRPr="00B92503">
        <w:t>semi-autonomous (living in a</w:t>
      </w:r>
      <w:r w:rsidR="00967A24" w:rsidRPr="00B92503">
        <w:t>n</w:t>
      </w:r>
      <w:r w:rsidR="00C70E4F" w:rsidRPr="00B92503">
        <w:t xml:space="preserve"> apartment or </w:t>
      </w:r>
      <w:r w:rsidR="00A75E9C" w:rsidRPr="00B92503">
        <w:t>housing</w:t>
      </w:r>
      <w:r w:rsidR="00C70E4F" w:rsidRPr="00B92503">
        <w:t xml:space="preserve"> group in close </w:t>
      </w:r>
      <w:r w:rsidR="00A75E9C" w:rsidRPr="00B92503">
        <w:t xml:space="preserve">association with </w:t>
      </w:r>
      <w:r w:rsidR="00C70E4F" w:rsidRPr="00B92503">
        <w:t>an institution</w:t>
      </w:r>
      <w:r w:rsidR="00A75E9C" w:rsidRPr="00B92503">
        <w:t>)</w:t>
      </w:r>
      <w:r w:rsidR="00C70E4F" w:rsidRPr="00B92503">
        <w:t xml:space="preserve"> and </w:t>
      </w:r>
      <w:r w:rsidR="00A75E9C" w:rsidRPr="00B92503">
        <w:t xml:space="preserve">3) </w:t>
      </w:r>
      <w:r w:rsidR="00C70E4F" w:rsidRPr="00B92503">
        <w:t>autonom</w:t>
      </w:r>
      <w:r w:rsidR="00967A24" w:rsidRPr="00B92503">
        <w:t>o</w:t>
      </w:r>
      <w:r w:rsidR="00C70E4F" w:rsidRPr="00B92503">
        <w:t xml:space="preserve">us structures (including </w:t>
      </w:r>
      <w:r w:rsidR="00A75E9C" w:rsidRPr="00B92503">
        <w:t>support</w:t>
      </w:r>
      <w:r w:rsidR="00C70E4F" w:rsidRPr="00B92503">
        <w:t xml:space="preserve"> services)</w:t>
      </w:r>
      <w:r w:rsidR="00087F67" w:rsidRPr="00B92503">
        <w:t xml:space="preserve">. </w:t>
      </w:r>
      <w:r w:rsidR="00A75E9C" w:rsidRPr="00B92503">
        <w:t xml:space="preserve">However, the boundaries are sometimes </w:t>
      </w:r>
      <w:proofErr w:type="gramStart"/>
      <w:r w:rsidR="00A75E9C" w:rsidRPr="00B92503">
        <w:t>blurred</w:t>
      </w:r>
      <w:proofErr w:type="gramEnd"/>
      <w:r w:rsidR="00A75E9C" w:rsidRPr="00B92503">
        <w:t xml:space="preserve"> and the same provider covers each of the three possible housing structures, so that a classification is not always explicit.</w:t>
      </w:r>
      <w:r w:rsidR="001038A5" w:rsidRPr="00B92503">
        <w:t xml:space="preserve"> Unlike in Figure 6 above, residents in old people's and nursing homes for the elderly with and without disabilities are not included here.</w:t>
      </w:r>
    </w:p>
    <w:p w:rsidR="00A75E9C" w:rsidRPr="00B92503" w:rsidRDefault="00A75E9C" w:rsidP="00B92503">
      <w:pPr>
        <w:pStyle w:val="BodyText"/>
        <w:ind w:left="221" w:right="352"/>
      </w:pPr>
    </w:p>
    <w:p w:rsidR="001038A5" w:rsidRPr="00B92503" w:rsidRDefault="00087F67" w:rsidP="00F92E05">
      <w:r w:rsidRPr="00B92503">
        <w:t xml:space="preserve">The capacity of accommodation services for people with disabilities is 874 beds, including 822 fixed beds and 52 temporary beds (fully institutionalised. </w:t>
      </w:r>
      <w:r w:rsidR="001038A5" w:rsidRPr="00B92503">
        <w:t xml:space="preserve">At the </w:t>
      </w:r>
      <w:r w:rsidR="00EF01D9" w:rsidRPr="00B92503">
        <w:t>e</w:t>
      </w:r>
      <w:r w:rsidR="00B134C7" w:rsidRPr="00B92503">
        <w:t xml:space="preserve">nd of </w:t>
      </w:r>
      <w:r w:rsidRPr="00B92503">
        <w:t xml:space="preserve">2017, </w:t>
      </w:r>
      <w:r w:rsidR="00B134C7" w:rsidRPr="00B92503">
        <w:t xml:space="preserve">a total of </w:t>
      </w:r>
      <w:r w:rsidRPr="00B92503">
        <w:t xml:space="preserve">797 places were occupied in the various accommodation facilities. </w:t>
      </w:r>
    </w:p>
    <w:p w:rsidR="00EF01D9" w:rsidRPr="00B92503" w:rsidRDefault="00EF01D9" w:rsidP="00B92503">
      <w:pPr>
        <w:pStyle w:val="BodyText"/>
        <w:ind w:left="221" w:right="352"/>
      </w:pPr>
    </w:p>
    <w:p w:rsidR="00B134C7" w:rsidRPr="00B92503" w:rsidRDefault="00087F67" w:rsidP="00F92E05">
      <w:r w:rsidRPr="00B92503">
        <w:t xml:space="preserve">With semiautonomous structures, a total of 56 places were available in 2017 and 45 were occupied at the end of the year. </w:t>
      </w:r>
      <w:r w:rsidR="00D2241A" w:rsidRPr="00B92503">
        <w:t xml:space="preserve">The number of people with disabilities who </w:t>
      </w:r>
      <w:r w:rsidR="001038A5" w:rsidRPr="00B92503">
        <w:t>are availing</w:t>
      </w:r>
      <w:r w:rsidR="00D2241A" w:rsidRPr="00B92503">
        <w:t xml:space="preserve"> of</w:t>
      </w:r>
      <w:r w:rsidR="001038A5" w:rsidRPr="00B92503">
        <w:t xml:space="preserve"> </w:t>
      </w:r>
      <w:r w:rsidR="00D2241A" w:rsidRPr="00B92503">
        <w:t xml:space="preserve">autonomous housing services has been calculated at 274 for 2017. </w:t>
      </w:r>
      <w:r w:rsidR="00780D11" w:rsidRPr="00B92503">
        <w:t xml:space="preserve">Among them were 143 men and 131 women with </w:t>
      </w:r>
      <w:r w:rsidR="00E1309A" w:rsidRPr="00B92503">
        <w:t>disabilities.</w:t>
      </w:r>
      <w:r w:rsidR="00780D11" w:rsidRPr="00B92503">
        <w:t xml:space="preserve"> This does not record persons with disabilities who live in the community without demand for any support or advice.</w:t>
      </w:r>
      <w:r w:rsidR="00A568D3" w:rsidRPr="00B92503">
        <w:t xml:space="preserve"> </w:t>
      </w:r>
    </w:p>
    <w:p w:rsidR="00A568D3" w:rsidRPr="00B92503" w:rsidRDefault="00A568D3" w:rsidP="00B92503">
      <w:pPr>
        <w:pStyle w:val="BodyText"/>
        <w:ind w:left="221" w:right="352"/>
      </w:pPr>
    </w:p>
    <w:p w:rsidR="008E4ACD" w:rsidRPr="00B92503" w:rsidRDefault="008E4ACD" w:rsidP="00B92503">
      <w:pPr>
        <w:pStyle w:val="Heading3"/>
        <w:rPr>
          <w:rFonts w:cs="Arial"/>
          <w:szCs w:val="24"/>
        </w:rPr>
      </w:pPr>
      <w:r w:rsidRPr="00B92503">
        <w:rPr>
          <w:rFonts w:cs="Arial"/>
          <w:szCs w:val="24"/>
        </w:rPr>
        <w:t>Trend since</w:t>
      </w:r>
      <w:r w:rsidRPr="00B92503">
        <w:rPr>
          <w:rFonts w:cs="Arial"/>
          <w:spacing w:val="-2"/>
          <w:szCs w:val="24"/>
        </w:rPr>
        <w:t xml:space="preserve"> </w:t>
      </w:r>
      <w:r w:rsidRPr="00B92503">
        <w:rPr>
          <w:rFonts w:cs="Arial"/>
          <w:szCs w:val="24"/>
        </w:rPr>
        <w:t>2013</w:t>
      </w:r>
    </w:p>
    <w:p w:rsidR="004C02E6" w:rsidRPr="00B92503" w:rsidRDefault="004C02E6" w:rsidP="00B92503">
      <w:pPr>
        <w:rPr>
          <w:rFonts w:cs="Arial"/>
          <w:szCs w:val="24"/>
        </w:rPr>
      </w:pPr>
    </w:p>
    <w:p w:rsidR="0093568A" w:rsidRPr="00B92503" w:rsidRDefault="00F67B89" w:rsidP="00B92503">
      <w:pPr>
        <w:rPr>
          <w:rFonts w:cs="Arial"/>
          <w:szCs w:val="24"/>
        </w:rPr>
      </w:pPr>
      <w:r w:rsidRPr="00B92503">
        <w:rPr>
          <w:rFonts w:cs="Arial"/>
          <w:szCs w:val="24"/>
        </w:rPr>
        <w:t>Looking at the data delivered by the OECD</w:t>
      </w:r>
      <w:r w:rsidR="004E4469" w:rsidRPr="00B92503">
        <w:rPr>
          <w:rStyle w:val="FootnoteReference"/>
          <w:rFonts w:cs="Arial"/>
          <w:sz w:val="24"/>
          <w:szCs w:val="24"/>
        </w:rPr>
        <w:footnoteReference w:id="34"/>
      </w:r>
      <w:r w:rsidR="00063003" w:rsidRPr="00B92503">
        <w:rPr>
          <w:rFonts w:cs="Arial"/>
          <w:szCs w:val="24"/>
        </w:rPr>
        <w:t xml:space="preserve"> the number of beds in nursing and residential care facilities per 1</w:t>
      </w:r>
      <w:r w:rsidR="00F92E05">
        <w:rPr>
          <w:rFonts w:cs="Arial"/>
          <w:szCs w:val="24"/>
        </w:rPr>
        <w:t>,</w:t>
      </w:r>
      <w:r w:rsidR="00063003" w:rsidRPr="00B92503">
        <w:rPr>
          <w:rFonts w:cs="Arial"/>
          <w:szCs w:val="24"/>
        </w:rPr>
        <w:t>000 inhabitants and per 1</w:t>
      </w:r>
      <w:r w:rsidR="00F92E05">
        <w:rPr>
          <w:rFonts w:cs="Arial"/>
          <w:szCs w:val="24"/>
        </w:rPr>
        <w:t>,</w:t>
      </w:r>
      <w:r w:rsidR="00063003" w:rsidRPr="00B92503">
        <w:rPr>
          <w:rFonts w:cs="Arial"/>
          <w:szCs w:val="24"/>
        </w:rPr>
        <w:t xml:space="preserve">000 inhabitants aged 65 or older indicate hardly any significant development in the observation period (2013 to </w:t>
      </w:r>
      <w:r w:rsidR="00063003" w:rsidRPr="00B92503">
        <w:rPr>
          <w:rFonts w:cs="Arial"/>
          <w:szCs w:val="24"/>
        </w:rPr>
        <w:lastRenderedPageBreak/>
        <w:t>2017). No data are available for 2013, so that data from 201</w:t>
      </w:r>
      <w:r w:rsidR="00F95197" w:rsidRPr="00B92503">
        <w:rPr>
          <w:rFonts w:cs="Arial"/>
          <w:szCs w:val="24"/>
        </w:rPr>
        <w:t>4</w:t>
      </w:r>
      <w:r w:rsidR="00063003" w:rsidRPr="00B92503">
        <w:rPr>
          <w:rFonts w:cs="Arial"/>
          <w:szCs w:val="24"/>
        </w:rPr>
        <w:t xml:space="preserve"> were used. More recent data are not available</w:t>
      </w:r>
      <w:r w:rsidR="004E4469" w:rsidRPr="00B92503">
        <w:rPr>
          <w:rFonts w:cs="Arial"/>
          <w:szCs w:val="24"/>
        </w:rPr>
        <w:t xml:space="preserve"> (see Appendix, Figure 7)</w:t>
      </w:r>
      <w:r w:rsidR="00063003" w:rsidRPr="00B92503">
        <w:rPr>
          <w:rFonts w:cs="Arial"/>
          <w:szCs w:val="24"/>
        </w:rPr>
        <w:t>.</w:t>
      </w:r>
      <w:r w:rsidR="003B224C" w:rsidRPr="00B92503">
        <w:rPr>
          <w:rFonts w:cs="Arial"/>
          <w:szCs w:val="24"/>
        </w:rPr>
        <w:t xml:space="preserve"> </w:t>
      </w:r>
      <w:r w:rsidR="0091737F" w:rsidRPr="00B92503">
        <w:rPr>
          <w:rFonts w:cs="Arial"/>
          <w:szCs w:val="24"/>
        </w:rPr>
        <w:t xml:space="preserve">As Figure </w:t>
      </w:r>
      <w:r w:rsidR="0059055A" w:rsidRPr="00B92503">
        <w:rPr>
          <w:rFonts w:cs="Arial"/>
          <w:szCs w:val="24"/>
        </w:rPr>
        <w:t>7</w:t>
      </w:r>
      <w:r w:rsidR="0091737F" w:rsidRPr="00B92503">
        <w:rPr>
          <w:rFonts w:cs="Arial"/>
          <w:szCs w:val="24"/>
        </w:rPr>
        <w:t xml:space="preserve"> shows, despite an increase in the absolute number of inpatient beds, the number of beds per 1</w:t>
      </w:r>
      <w:r w:rsidR="00F92E05">
        <w:rPr>
          <w:rFonts w:cs="Arial"/>
          <w:szCs w:val="24"/>
        </w:rPr>
        <w:t>,</w:t>
      </w:r>
      <w:r w:rsidR="0091737F" w:rsidRPr="00B92503">
        <w:rPr>
          <w:rFonts w:cs="Arial"/>
          <w:szCs w:val="24"/>
        </w:rPr>
        <w:t>000 inhabitants and the number of beds per 1</w:t>
      </w:r>
      <w:r w:rsidR="00F92E05">
        <w:rPr>
          <w:rFonts w:cs="Arial"/>
          <w:szCs w:val="24"/>
        </w:rPr>
        <w:t>,</w:t>
      </w:r>
      <w:r w:rsidR="0091737F" w:rsidRPr="00B92503">
        <w:rPr>
          <w:rFonts w:cs="Arial"/>
          <w:szCs w:val="24"/>
        </w:rPr>
        <w:t xml:space="preserve">000 inhabitants aged 60 and older declined during the observation period. </w:t>
      </w:r>
      <w:r w:rsidR="00427D99" w:rsidRPr="00B92503">
        <w:rPr>
          <w:rFonts w:cs="Arial"/>
          <w:szCs w:val="24"/>
        </w:rPr>
        <w:t>Overall, however, the variations are very small and range around 5</w:t>
      </w:r>
      <w:r w:rsidR="00F92E05">
        <w:rPr>
          <w:rFonts w:cs="Arial"/>
          <w:szCs w:val="24"/>
        </w:rPr>
        <w:t xml:space="preserve"> </w:t>
      </w:r>
      <w:r w:rsidR="00427D99" w:rsidRPr="00B92503">
        <w:rPr>
          <w:rFonts w:cs="Arial"/>
          <w:szCs w:val="24"/>
        </w:rPr>
        <w:t xml:space="preserve">% of the 2014 reference value. This may suggest that some more people are living at home and not in institutions. In </w:t>
      </w:r>
      <w:r w:rsidR="006E09F5" w:rsidRPr="00B92503">
        <w:rPr>
          <w:rFonts w:cs="Arial"/>
          <w:szCs w:val="24"/>
        </w:rPr>
        <w:t xml:space="preserve">Figure </w:t>
      </w:r>
      <w:r w:rsidR="0059055A" w:rsidRPr="00B92503">
        <w:rPr>
          <w:rFonts w:cs="Arial"/>
          <w:szCs w:val="24"/>
        </w:rPr>
        <w:t>7 (</w:t>
      </w:r>
      <w:r w:rsidR="00684540" w:rsidRPr="00B92503">
        <w:rPr>
          <w:rFonts w:cs="Arial"/>
          <w:szCs w:val="24"/>
        </w:rPr>
        <w:t>and following figures</w:t>
      </w:r>
      <w:r w:rsidR="0059055A" w:rsidRPr="00B92503">
        <w:rPr>
          <w:rFonts w:cs="Arial"/>
          <w:szCs w:val="24"/>
        </w:rPr>
        <w:t>)</w:t>
      </w:r>
      <w:r w:rsidR="00427D99" w:rsidRPr="00B92503">
        <w:rPr>
          <w:rFonts w:cs="Arial"/>
          <w:szCs w:val="24"/>
        </w:rPr>
        <w:t>, the Y-axis is strongly stretched, to illustrate the barely apparent</w:t>
      </w:r>
      <w:r w:rsidR="00427D99" w:rsidRPr="00B92503">
        <w:rPr>
          <w:rFonts w:cs="Arial"/>
          <w:spacing w:val="-16"/>
          <w:szCs w:val="24"/>
        </w:rPr>
        <w:t xml:space="preserve"> </w:t>
      </w:r>
      <w:r w:rsidR="00427D99" w:rsidRPr="00B92503">
        <w:rPr>
          <w:rFonts w:cs="Arial"/>
          <w:szCs w:val="24"/>
        </w:rPr>
        <w:t>development.</w:t>
      </w:r>
    </w:p>
    <w:p w:rsidR="004C02E6" w:rsidRPr="00B92503" w:rsidRDefault="004C02E6" w:rsidP="00B92503">
      <w:pPr>
        <w:rPr>
          <w:rFonts w:cs="Arial"/>
          <w:szCs w:val="24"/>
        </w:rPr>
      </w:pPr>
    </w:p>
    <w:p w:rsidR="004E4469" w:rsidRPr="00B92503" w:rsidRDefault="004E4469" w:rsidP="00B92503">
      <w:pPr>
        <w:rPr>
          <w:rFonts w:cs="Arial"/>
          <w:szCs w:val="24"/>
        </w:rPr>
      </w:pPr>
      <w:r w:rsidRPr="00B92503">
        <w:rPr>
          <w:rFonts w:cs="Arial"/>
          <w:szCs w:val="24"/>
        </w:rPr>
        <w:t>Compared to 2013 the proportion of female and male recipients of long-term care in institution increases. However, the proportion of men receiving home care in the period covered by the study also rises. The only decrease emerged in the proportion of women receiving home care. Overall, however, there are no major changes (range less than 10</w:t>
      </w:r>
      <w:r w:rsidR="00F92E05">
        <w:rPr>
          <w:rFonts w:cs="Arial"/>
          <w:szCs w:val="24"/>
        </w:rPr>
        <w:t xml:space="preserve"> </w:t>
      </w:r>
      <w:r w:rsidRPr="00B92503">
        <w:rPr>
          <w:rFonts w:cs="Arial"/>
          <w:szCs w:val="24"/>
        </w:rPr>
        <w:t>%). All data considered together, indicate that the increase of places in institutions is bigger than the increase of care at home during the period under study</w:t>
      </w:r>
      <w:r w:rsidRPr="00B92503">
        <w:rPr>
          <w:rStyle w:val="FootnoteReference"/>
          <w:rFonts w:cs="Arial"/>
          <w:sz w:val="24"/>
          <w:szCs w:val="24"/>
        </w:rPr>
        <w:footnoteReference w:id="35"/>
      </w:r>
      <w:r w:rsidRPr="00B92503">
        <w:rPr>
          <w:rFonts w:cs="Arial"/>
          <w:szCs w:val="24"/>
        </w:rPr>
        <w:t xml:space="preserve"> (See Appendix, Figure 8). </w:t>
      </w:r>
    </w:p>
    <w:p w:rsidR="004C02E6" w:rsidRPr="00B92503" w:rsidRDefault="004C02E6" w:rsidP="00B92503">
      <w:pPr>
        <w:rPr>
          <w:rFonts w:cs="Arial"/>
          <w:szCs w:val="24"/>
        </w:rPr>
      </w:pPr>
    </w:p>
    <w:p w:rsidR="00316CE7" w:rsidRPr="00B92503" w:rsidRDefault="0041103D" w:rsidP="00B92503">
      <w:pPr>
        <w:rPr>
          <w:rFonts w:cs="Arial"/>
          <w:szCs w:val="24"/>
        </w:rPr>
      </w:pPr>
      <w:r w:rsidRPr="00B92503">
        <w:rPr>
          <w:rFonts w:cs="Arial"/>
          <w:szCs w:val="24"/>
        </w:rPr>
        <w:t xml:space="preserve">The stronger increase in institutionalised care compared to care at home suggests that </w:t>
      </w:r>
      <w:r w:rsidR="00C77324" w:rsidRPr="00B92503">
        <w:rPr>
          <w:rFonts w:cs="Arial"/>
          <w:szCs w:val="24"/>
        </w:rPr>
        <w:t>i</w:t>
      </w:r>
      <w:r w:rsidRPr="00B92503">
        <w:rPr>
          <w:rFonts w:cs="Arial"/>
          <w:szCs w:val="24"/>
        </w:rPr>
        <w:t xml:space="preserve">ndependent </w:t>
      </w:r>
      <w:r w:rsidR="00C77324" w:rsidRPr="00B92503">
        <w:rPr>
          <w:rFonts w:cs="Arial"/>
          <w:szCs w:val="24"/>
        </w:rPr>
        <w:t>l</w:t>
      </w:r>
      <w:r w:rsidRPr="00B92503">
        <w:rPr>
          <w:rFonts w:cs="Arial"/>
          <w:szCs w:val="24"/>
        </w:rPr>
        <w:t>iving has not yet been implemented in many cases and that probably even an increasing proportion of people with disabilities live in institutions</w:t>
      </w:r>
      <w:r w:rsidR="00F92E05">
        <w:rPr>
          <w:rFonts w:cs="Arial"/>
          <w:szCs w:val="24"/>
        </w:rPr>
        <w:t>.</w:t>
      </w:r>
      <w:r w:rsidR="004E4469" w:rsidRPr="00B92503">
        <w:rPr>
          <w:rStyle w:val="FootnoteReference"/>
          <w:rFonts w:cs="Arial"/>
          <w:sz w:val="24"/>
          <w:szCs w:val="24"/>
        </w:rPr>
        <w:footnoteReference w:id="36"/>
      </w:r>
      <w:r w:rsidRPr="00B92503">
        <w:rPr>
          <w:rFonts w:cs="Arial"/>
          <w:szCs w:val="24"/>
        </w:rPr>
        <w:t xml:space="preserve"> </w:t>
      </w:r>
      <w:r w:rsidR="00316CE7" w:rsidRPr="00B92503">
        <w:rPr>
          <w:rFonts w:cs="Arial"/>
          <w:szCs w:val="24"/>
        </w:rPr>
        <w:t>Overall, however, the changes remain at a rather low level</w:t>
      </w:r>
      <w:r w:rsidRPr="00B92503">
        <w:rPr>
          <w:rFonts w:cs="Arial"/>
          <w:szCs w:val="24"/>
        </w:rPr>
        <w:t xml:space="preserve"> and only become visible due to the high spread of the Y-axis in </w:t>
      </w:r>
      <w:r w:rsidR="00684540" w:rsidRPr="00B92503">
        <w:rPr>
          <w:rFonts w:cs="Arial"/>
          <w:szCs w:val="24"/>
        </w:rPr>
        <w:t xml:space="preserve">the </w:t>
      </w:r>
      <w:r w:rsidRPr="00B92503">
        <w:rPr>
          <w:rFonts w:cs="Arial"/>
          <w:szCs w:val="24"/>
        </w:rPr>
        <w:t>figure</w:t>
      </w:r>
      <w:r w:rsidR="004E4469" w:rsidRPr="00B92503">
        <w:rPr>
          <w:rFonts w:cs="Arial"/>
          <w:szCs w:val="24"/>
        </w:rPr>
        <w:t xml:space="preserve"> (see Appendix, Figure 9)</w:t>
      </w:r>
      <w:r w:rsidRPr="00B92503">
        <w:rPr>
          <w:rFonts w:cs="Arial"/>
          <w:szCs w:val="24"/>
        </w:rPr>
        <w:t>.</w:t>
      </w:r>
    </w:p>
    <w:p w:rsidR="004C02E6" w:rsidRPr="00B92503" w:rsidRDefault="004C02E6" w:rsidP="00B92503">
      <w:pPr>
        <w:rPr>
          <w:rFonts w:cs="Arial"/>
          <w:szCs w:val="24"/>
        </w:rPr>
      </w:pPr>
    </w:p>
    <w:p w:rsidR="00FA316F" w:rsidRPr="00B92503" w:rsidRDefault="00AE634D" w:rsidP="00B92503">
      <w:pPr>
        <w:rPr>
          <w:rFonts w:cs="Arial"/>
          <w:szCs w:val="24"/>
        </w:rPr>
      </w:pPr>
      <w:r w:rsidRPr="00B92503">
        <w:rPr>
          <w:rFonts w:cs="Arial"/>
          <w:szCs w:val="24"/>
        </w:rPr>
        <w:t xml:space="preserve">There have also been hardly any changes over the observation period in the data on long-term care insurance </w:t>
      </w:r>
      <w:proofErr w:type="gramStart"/>
      <w:r w:rsidRPr="00B92503">
        <w:rPr>
          <w:rFonts w:cs="Arial"/>
          <w:szCs w:val="24"/>
        </w:rPr>
        <w:t>with regard to</w:t>
      </w:r>
      <w:proofErr w:type="gramEnd"/>
      <w:r w:rsidRPr="00B92503">
        <w:rPr>
          <w:rFonts w:cs="Arial"/>
          <w:szCs w:val="24"/>
        </w:rPr>
        <w:t xml:space="preserve"> the various age groups of persons requesting appropriate support measures for independent living. The relative share of applications in the institutionalised context compared to applications from persons living independently in the municipality hardly changed during the observation period</w:t>
      </w:r>
      <w:r w:rsidR="006E09F5" w:rsidRPr="00B92503">
        <w:rPr>
          <w:rFonts w:cs="Arial"/>
          <w:szCs w:val="24"/>
        </w:rPr>
        <w:t>.</w:t>
      </w:r>
      <w:r w:rsidRPr="00B92503">
        <w:rPr>
          <w:rFonts w:cs="Arial"/>
          <w:szCs w:val="24"/>
        </w:rPr>
        <w:t xml:space="preserve"> </w:t>
      </w:r>
    </w:p>
    <w:p w:rsidR="004C02E6" w:rsidRPr="00B92503" w:rsidRDefault="004C02E6" w:rsidP="00B92503">
      <w:pPr>
        <w:rPr>
          <w:rFonts w:cs="Arial"/>
          <w:szCs w:val="24"/>
        </w:rPr>
      </w:pPr>
    </w:p>
    <w:p w:rsidR="00FA316F" w:rsidRDefault="00FA316F" w:rsidP="00B92503">
      <w:pPr>
        <w:rPr>
          <w:rFonts w:cs="Arial"/>
          <w:szCs w:val="24"/>
        </w:rPr>
      </w:pPr>
      <w:r w:rsidRPr="00B92503">
        <w:rPr>
          <w:rFonts w:cs="Arial"/>
          <w:szCs w:val="24"/>
        </w:rPr>
        <w:t xml:space="preserve">The </w:t>
      </w:r>
      <w:r w:rsidR="005D2721" w:rsidRPr="00B92503">
        <w:rPr>
          <w:rFonts w:cs="Arial"/>
          <w:szCs w:val="24"/>
        </w:rPr>
        <w:t xml:space="preserve">development of data on </w:t>
      </w:r>
      <w:r w:rsidR="005D2721" w:rsidRPr="00B92503">
        <w:rPr>
          <w:rFonts w:cs="Arial"/>
          <w:i/>
          <w:szCs w:val="24"/>
        </w:rPr>
        <w:t>number of beneficiaries independent living per age group</w:t>
      </w:r>
      <w:r w:rsidR="005D2721" w:rsidRPr="00B92503">
        <w:rPr>
          <w:rFonts w:cs="Arial"/>
          <w:szCs w:val="24"/>
        </w:rPr>
        <w:t xml:space="preserve"> between 2013 and 2016</w:t>
      </w:r>
      <w:r w:rsidR="005D2721" w:rsidRPr="00B92503">
        <w:rPr>
          <w:rStyle w:val="FootnoteReference"/>
          <w:rFonts w:cs="Arial"/>
          <w:sz w:val="24"/>
          <w:szCs w:val="24"/>
        </w:rPr>
        <w:footnoteReference w:id="37"/>
      </w:r>
      <w:r w:rsidR="005D2721" w:rsidRPr="00B92503">
        <w:rPr>
          <w:rFonts w:cs="Arial"/>
          <w:szCs w:val="24"/>
        </w:rPr>
        <w:t xml:space="preserve"> show </w:t>
      </w:r>
      <w:r w:rsidRPr="00B92503">
        <w:rPr>
          <w:rFonts w:cs="Arial"/>
          <w:szCs w:val="24"/>
        </w:rPr>
        <w:t>that the housing situation remained the same during the period examined (2013-2016). No data were available for 2017 at the time this report was compiled.</w:t>
      </w:r>
    </w:p>
    <w:p w:rsidR="00F92E05" w:rsidRPr="00B92503" w:rsidRDefault="00F92E05" w:rsidP="00B92503">
      <w:pPr>
        <w:rPr>
          <w:rFonts w:cs="Arial"/>
          <w:szCs w:val="24"/>
        </w:rPr>
      </w:pPr>
    </w:p>
    <w:p w:rsidR="00FA316F" w:rsidRDefault="00BC6290" w:rsidP="00B92503">
      <w:pPr>
        <w:rPr>
          <w:rFonts w:cs="Arial"/>
          <w:szCs w:val="24"/>
        </w:rPr>
      </w:pPr>
      <w:r w:rsidRPr="00B92503">
        <w:rPr>
          <w:rFonts w:cs="Arial"/>
          <w:szCs w:val="24"/>
        </w:rPr>
        <w:lastRenderedPageBreak/>
        <w:t>Based on data from the Ministry of Family Affairs</w:t>
      </w:r>
      <w:r w:rsidR="00F92E05">
        <w:rPr>
          <w:rFonts w:cs="Arial"/>
          <w:szCs w:val="24"/>
        </w:rPr>
        <w:t>,</w:t>
      </w:r>
      <w:r w:rsidR="005D2721" w:rsidRPr="00B92503">
        <w:rPr>
          <w:rStyle w:val="FootnoteReference"/>
          <w:rFonts w:cs="Arial"/>
          <w:sz w:val="24"/>
          <w:szCs w:val="24"/>
        </w:rPr>
        <w:footnoteReference w:id="38"/>
      </w:r>
      <w:r w:rsidRPr="00B92503">
        <w:rPr>
          <w:rFonts w:cs="Arial"/>
          <w:szCs w:val="24"/>
        </w:rPr>
        <w:t xml:space="preserve"> </w:t>
      </w:r>
      <w:proofErr w:type="gramStart"/>
      <w:r w:rsidRPr="00B92503">
        <w:rPr>
          <w:rFonts w:cs="Arial"/>
          <w:szCs w:val="24"/>
        </w:rPr>
        <w:t>it can be seen that the</w:t>
      </w:r>
      <w:proofErr w:type="gramEnd"/>
      <w:r w:rsidRPr="00B92503">
        <w:rPr>
          <w:rFonts w:cs="Arial"/>
          <w:szCs w:val="24"/>
        </w:rPr>
        <w:t xml:space="preserve"> proportion of people with disabilities living in institutions has declined during the observation period. However, a simultaneous increase in independent living cannot be shown </w:t>
      </w:r>
      <w:proofErr w:type="gramStart"/>
      <w:r w:rsidRPr="00B92503">
        <w:rPr>
          <w:rFonts w:cs="Arial"/>
          <w:szCs w:val="24"/>
        </w:rPr>
        <w:t>on the basis of</w:t>
      </w:r>
      <w:proofErr w:type="gramEnd"/>
      <w:r w:rsidRPr="00B92503">
        <w:rPr>
          <w:rFonts w:cs="Arial"/>
          <w:szCs w:val="24"/>
        </w:rPr>
        <w:t xml:space="preserve"> the data.</w:t>
      </w:r>
    </w:p>
    <w:p w:rsidR="00F92E05" w:rsidRPr="00B92503" w:rsidRDefault="00F92E05" w:rsidP="00B92503">
      <w:pPr>
        <w:rPr>
          <w:rFonts w:cs="Arial"/>
          <w:szCs w:val="24"/>
        </w:rPr>
      </w:pPr>
    </w:p>
    <w:p w:rsidR="00BE2880" w:rsidRPr="00B92503" w:rsidRDefault="0035378C" w:rsidP="00B92503">
      <w:pPr>
        <w:rPr>
          <w:rFonts w:cs="Arial"/>
          <w:szCs w:val="24"/>
        </w:rPr>
      </w:pPr>
      <w:r w:rsidRPr="00B92503">
        <w:rPr>
          <w:rFonts w:cs="Arial"/>
          <w:szCs w:val="24"/>
        </w:rPr>
        <w:t xml:space="preserve">These data </w:t>
      </w:r>
      <w:r w:rsidR="00BB6B3F" w:rsidRPr="00B92503">
        <w:rPr>
          <w:rFonts w:cs="Arial"/>
          <w:szCs w:val="24"/>
        </w:rPr>
        <w:t>(based on the statistics of the national long</w:t>
      </w:r>
      <w:r w:rsidR="005D2721" w:rsidRPr="00B92503">
        <w:rPr>
          <w:rFonts w:cs="Arial"/>
          <w:szCs w:val="24"/>
        </w:rPr>
        <w:t>-</w:t>
      </w:r>
      <w:r w:rsidR="00BB6B3F" w:rsidRPr="00B92503">
        <w:rPr>
          <w:rFonts w:cs="Arial"/>
          <w:szCs w:val="24"/>
        </w:rPr>
        <w:t xml:space="preserve">term care assurance) </w:t>
      </w:r>
      <w:r w:rsidRPr="00B92503">
        <w:rPr>
          <w:rFonts w:cs="Arial"/>
          <w:szCs w:val="24"/>
        </w:rPr>
        <w:t>show that almost three-quarters of all persons with disabilities continue to live in institutions in Luxembourg. But th</w:t>
      </w:r>
      <w:r w:rsidR="002E5FBC" w:rsidRPr="00B92503">
        <w:rPr>
          <w:rFonts w:cs="Arial"/>
          <w:szCs w:val="24"/>
        </w:rPr>
        <w:t>e actual number of people with disabilities who live autonomously is likely to be seriously underestimated by the available figures, because people who do not ask for counselling or support have not been included. No data are available for 2014. More recent data were not available when the report was</w:t>
      </w:r>
      <w:r w:rsidR="002E5FBC" w:rsidRPr="00B92503">
        <w:rPr>
          <w:rFonts w:cs="Arial"/>
          <w:spacing w:val="-1"/>
          <w:szCs w:val="24"/>
        </w:rPr>
        <w:t xml:space="preserve"> </w:t>
      </w:r>
      <w:r w:rsidR="002E5FBC" w:rsidRPr="00B92503">
        <w:rPr>
          <w:rFonts w:cs="Arial"/>
          <w:szCs w:val="24"/>
        </w:rPr>
        <w:t>compiled.</w:t>
      </w:r>
    </w:p>
    <w:p w:rsidR="002E5FBC" w:rsidRPr="00B92503" w:rsidRDefault="002E5FBC" w:rsidP="00B92503">
      <w:pPr>
        <w:rPr>
          <w:rFonts w:cs="Arial"/>
          <w:szCs w:val="24"/>
        </w:rPr>
      </w:pPr>
    </w:p>
    <w:p w:rsidR="00622FC0" w:rsidRPr="00B92503" w:rsidRDefault="008E4ACD" w:rsidP="00B92503">
      <w:pPr>
        <w:pStyle w:val="Heading2"/>
        <w:rPr>
          <w:rFonts w:cs="Arial"/>
          <w:szCs w:val="24"/>
        </w:rPr>
      </w:pPr>
      <w:bookmarkStart w:id="14" w:name="_TOC_250028"/>
      <w:bookmarkStart w:id="15" w:name="_Toc529874058"/>
      <w:bookmarkStart w:id="16" w:name="_Toc7612954"/>
      <w:r w:rsidRPr="00B92503">
        <w:rPr>
          <w:rFonts w:cs="Arial"/>
          <w:szCs w:val="24"/>
        </w:rPr>
        <w:t xml:space="preserve">Overall spending on institutional care versus </w:t>
      </w:r>
      <w:r w:rsidR="00A76625" w:rsidRPr="00B92503">
        <w:rPr>
          <w:rFonts w:cs="Arial"/>
          <w:szCs w:val="24"/>
        </w:rPr>
        <w:t xml:space="preserve">services for support </w:t>
      </w:r>
      <w:r w:rsidR="009B0AEB" w:rsidRPr="00B92503">
        <w:rPr>
          <w:rFonts w:cs="Arial"/>
          <w:szCs w:val="24"/>
        </w:rPr>
        <w:t>for living independently and being included in the community</w:t>
      </w:r>
      <w:r w:rsidR="00FA5813" w:rsidRPr="00B92503">
        <w:rPr>
          <w:rFonts w:cs="Arial"/>
          <w:szCs w:val="24"/>
        </w:rPr>
        <w:t xml:space="preserve">, including information about proportion/amount of funding provided from EU </w:t>
      </w:r>
      <w:bookmarkEnd w:id="14"/>
      <w:r w:rsidR="00FA5813" w:rsidRPr="00B92503">
        <w:rPr>
          <w:rFonts w:cs="Arial"/>
          <w:szCs w:val="24"/>
        </w:rPr>
        <w:t>funds</w:t>
      </w:r>
      <w:bookmarkEnd w:id="15"/>
      <w:bookmarkEnd w:id="16"/>
    </w:p>
    <w:p w:rsidR="00420992" w:rsidRPr="00B92503" w:rsidRDefault="00420992" w:rsidP="00B92503">
      <w:pPr>
        <w:rPr>
          <w:rFonts w:cs="Arial"/>
          <w:szCs w:val="24"/>
          <w:lang w:bidi="en-US"/>
        </w:rPr>
      </w:pPr>
    </w:p>
    <w:p w:rsidR="00B04857" w:rsidRPr="00B92503" w:rsidRDefault="0027442C" w:rsidP="00B92503">
      <w:pPr>
        <w:rPr>
          <w:rFonts w:cs="Arial"/>
          <w:szCs w:val="24"/>
        </w:rPr>
      </w:pPr>
      <w:r w:rsidRPr="00B92503">
        <w:rPr>
          <w:rFonts w:cs="Arial"/>
          <w:szCs w:val="24"/>
        </w:rPr>
        <w:t xml:space="preserve">Measures that support independent living are mainly financed by the national long-term care insurance. </w:t>
      </w:r>
    </w:p>
    <w:p w:rsidR="00420992" w:rsidRPr="00B92503" w:rsidRDefault="00420992" w:rsidP="00F92E05"/>
    <w:p w:rsidR="008E4ACD" w:rsidRPr="00B92503" w:rsidRDefault="008E4ACD" w:rsidP="00B92503">
      <w:pPr>
        <w:pStyle w:val="Heading3"/>
        <w:rPr>
          <w:rFonts w:cs="Arial"/>
          <w:b/>
          <w:szCs w:val="24"/>
        </w:rPr>
      </w:pPr>
      <w:r w:rsidRPr="00B92503">
        <w:rPr>
          <w:rFonts w:cs="Arial"/>
          <w:szCs w:val="24"/>
        </w:rPr>
        <w:t>Current figures</w:t>
      </w:r>
    </w:p>
    <w:p w:rsidR="00420992" w:rsidRPr="00B92503" w:rsidRDefault="00420992" w:rsidP="00B92503">
      <w:pPr>
        <w:rPr>
          <w:rFonts w:cs="Arial"/>
          <w:szCs w:val="24"/>
        </w:rPr>
      </w:pPr>
    </w:p>
    <w:p w:rsidR="005D2721" w:rsidRPr="00B92503" w:rsidRDefault="00EF2F84" w:rsidP="00B92503">
      <w:pPr>
        <w:rPr>
          <w:rFonts w:cs="Arial"/>
          <w:szCs w:val="24"/>
        </w:rPr>
      </w:pPr>
      <w:r w:rsidRPr="00B92503">
        <w:rPr>
          <w:rFonts w:cs="Arial"/>
          <w:szCs w:val="24"/>
        </w:rPr>
        <w:t>A comparison of the expenses from the current annual report (2017) of the national care insurance (data basis 2015) shows that the benefits for stationary measures exceed the benefits for domestic measures</w:t>
      </w:r>
      <w:r w:rsidR="00F92E05">
        <w:rPr>
          <w:rFonts w:cs="Arial"/>
          <w:szCs w:val="24"/>
        </w:rPr>
        <w:t>.</w:t>
      </w:r>
      <w:r w:rsidRPr="00B92503">
        <w:rPr>
          <w:rStyle w:val="FootnoteReference"/>
          <w:rFonts w:cs="Arial"/>
          <w:sz w:val="24"/>
          <w:szCs w:val="24"/>
        </w:rPr>
        <w:footnoteReference w:id="39"/>
      </w:r>
      <w:r w:rsidRPr="00B92503">
        <w:rPr>
          <w:rFonts w:cs="Arial"/>
          <w:szCs w:val="24"/>
        </w:rPr>
        <w:t xml:space="preserve">The </w:t>
      </w:r>
      <w:r w:rsidR="005D2721" w:rsidRPr="00B92503">
        <w:rPr>
          <w:rFonts w:cs="Arial"/>
          <w:szCs w:val="24"/>
        </w:rPr>
        <w:t xml:space="preserve">yearly </w:t>
      </w:r>
      <w:r w:rsidRPr="00B92503">
        <w:rPr>
          <w:rFonts w:cs="Arial"/>
          <w:szCs w:val="24"/>
        </w:rPr>
        <w:t xml:space="preserve">national care insurance reports </w:t>
      </w:r>
      <w:r w:rsidR="00BB6B3F" w:rsidRPr="00B92503">
        <w:rPr>
          <w:rFonts w:cs="Arial"/>
          <w:szCs w:val="24"/>
        </w:rPr>
        <w:t>present</w:t>
      </w:r>
      <w:r w:rsidRPr="00B92503">
        <w:rPr>
          <w:rFonts w:cs="Arial"/>
          <w:szCs w:val="24"/>
        </w:rPr>
        <w:t xml:space="preserve"> reimbursements broken down by place of care and age</w:t>
      </w:r>
      <w:r w:rsidR="005D2721" w:rsidRPr="00B92503">
        <w:rPr>
          <w:rFonts w:cs="Arial"/>
          <w:szCs w:val="24"/>
        </w:rPr>
        <w:t xml:space="preserve"> (see Appendix, Figure 11)</w:t>
      </w:r>
      <w:r w:rsidRPr="00B92503">
        <w:rPr>
          <w:rFonts w:cs="Arial"/>
          <w:szCs w:val="24"/>
        </w:rPr>
        <w:t>.</w:t>
      </w:r>
    </w:p>
    <w:p w:rsidR="00420992" w:rsidRPr="00B92503" w:rsidRDefault="00420992" w:rsidP="00B92503">
      <w:pPr>
        <w:rPr>
          <w:rFonts w:cs="Arial"/>
          <w:szCs w:val="24"/>
        </w:rPr>
      </w:pPr>
    </w:p>
    <w:p w:rsidR="0017585D" w:rsidRPr="00B92503" w:rsidRDefault="0017585D" w:rsidP="00B92503">
      <w:pPr>
        <w:rPr>
          <w:rFonts w:cs="Arial"/>
          <w:szCs w:val="24"/>
        </w:rPr>
      </w:pPr>
      <w:r w:rsidRPr="00B92503">
        <w:rPr>
          <w:rFonts w:cs="Arial"/>
          <w:b/>
          <w:szCs w:val="24"/>
        </w:rPr>
        <w:t xml:space="preserve">Figure </w:t>
      </w:r>
      <w:r w:rsidR="00BB6B3F" w:rsidRPr="00B92503">
        <w:rPr>
          <w:rFonts w:cs="Arial"/>
          <w:b/>
          <w:szCs w:val="24"/>
        </w:rPr>
        <w:t>12</w:t>
      </w:r>
      <w:r w:rsidRPr="00B92503">
        <w:rPr>
          <w:rFonts w:cs="Arial"/>
          <w:b/>
          <w:szCs w:val="24"/>
        </w:rPr>
        <w:t xml:space="preserve">: </w:t>
      </w:r>
      <w:r w:rsidRPr="00B92503">
        <w:rPr>
          <w:rFonts w:cs="Arial"/>
          <w:szCs w:val="24"/>
        </w:rPr>
        <w:t>reimbursements broken down by age group and place of action</w:t>
      </w:r>
      <w:r w:rsidR="00B61E9A" w:rsidRPr="00B92503">
        <w:rPr>
          <w:rFonts w:cs="Arial"/>
          <w:szCs w:val="24"/>
        </w:rPr>
        <w:t xml:space="preserve"> in million Euro</w:t>
      </w:r>
    </w:p>
    <w:tbl>
      <w:tblPr>
        <w:tblW w:w="0" w:type="auto"/>
        <w:tblInd w:w="-38" w:type="dxa"/>
        <w:tblLayout w:type="fixed"/>
        <w:tblCellMar>
          <w:left w:w="30" w:type="dxa"/>
          <w:right w:w="30" w:type="dxa"/>
        </w:tblCellMar>
        <w:tblLook w:val="0000" w:firstRow="0" w:lastRow="0" w:firstColumn="0" w:lastColumn="0" w:noHBand="0" w:noVBand="0"/>
      </w:tblPr>
      <w:tblGrid>
        <w:gridCol w:w="1731"/>
        <w:gridCol w:w="1988"/>
        <w:gridCol w:w="2268"/>
        <w:gridCol w:w="992"/>
        <w:gridCol w:w="1985"/>
      </w:tblGrid>
      <w:tr w:rsidR="0017585D" w:rsidRPr="00B92503" w:rsidTr="005E4D6A">
        <w:trPr>
          <w:trHeight w:val="269"/>
        </w:trPr>
        <w:tc>
          <w:tcPr>
            <w:tcW w:w="1731" w:type="dxa"/>
            <w:tcBorders>
              <w:top w:val="single" w:sz="4" w:space="0" w:color="auto"/>
              <w:left w:val="single" w:sz="4" w:space="0" w:color="auto"/>
              <w:bottom w:val="single" w:sz="4" w:space="0" w:color="auto"/>
              <w:right w:val="single" w:sz="4" w:space="0" w:color="auto"/>
            </w:tcBorders>
            <w:shd w:val="clear" w:color="auto" w:fill="DAEEF3"/>
            <w:vAlign w:val="center"/>
          </w:tcPr>
          <w:p w:rsidR="0017585D" w:rsidRPr="00B92503" w:rsidRDefault="0017585D" w:rsidP="00B92503">
            <w:pPr>
              <w:autoSpaceDE w:val="0"/>
              <w:autoSpaceDN w:val="0"/>
              <w:adjustRightInd w:val="0"/>
              <w:jc w:val="center"/>
              <w:rPr>
                <w:rFonts w:cs="Arial"/>
                <w:color w:val="000000"/>
                <w:szCs w:val="24"/>
                <w:lang w:val="en-US"/>
              </w:rPr>
            </w:pPr>
            <w:r w:rsidRPr="00B92503">
              <w:rPr>
                <w:rFonts w:cs="Arial"/>
                <w:color w:val="000000"/>
                <w:szCs w:val="24"/>
                <w:lang w:val="en-US"/>
              </w:rPr>
              <w:t>Age group</w:t>
            </w:r>
          </w:p>
        </w:tc>
        <w:tc>
          <w:tcPr>
            <w:tcW w:w="7233"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rsidR="0017585D" w:rsidRPr="00B92503" w:rsidRDefault="0017585D" w:rsidP="00B92503">
            <w:pPr>
              <w:autoSpaceDE w:val="0"/>
              <w:autoSpaceDN w:val="0"/>
              <w:adjustRightInd w:val="0"/>
              <w:jc w:val="center"/>
              <w:rPr>
                <w:rFonts w:cs="Arial"/>
                <w:color w:val="000000"/>
                <w:szCs w:val="24"/>
                <w:lang w:val="en-US"/>
              </w:rPr>
            </w:pPr>
            <w:r w:rsidRPr="00B92503">
              <w:rPr>
                <w:rFonts w:cs="Arial"/>
                <w:color w:val="000000"/>
                <w:szCs w:val="24"/>
                <w:lang w:val="en-US"/>
              </w:rPr>
              <w:t>2015 Budget care Insurance</w:t>
            </w:r>
            <w:r w:rsidR="007C4D2B" w:rsidRPr="00B92503">
              <w:rPr>
                <w:rFonts w:cs="Arial"/>
                <w:color w:val="000000"/>
                <w:szCs w:val="24"/>
                <w:lang w:val="en-US"/>
              </w:rPr>
              <w:t xml:space="preserve"> (in million Euro)</w:t>
            </w:r>
            <w:r w:rsidRPr="00B92503">
              <w:rPr>
                <w:rFonts w:cs="Arial"/>
                <w:color w:val="000000"/>
                <w:szCs w:val="24"/>
                <w:lang w:val="en-US"/>
              </w:rPr>
              <w:t xml:space="preserve"> </w:t>
            </w:r>
          </w:p>
        </w:tc>
      </w:tr>
      <w:tr w:rsidR="001D0450" w:rsidRPr="00F92E05" w:rsidTr="00F92E05">
        <w:trPr>
          <w:trHeight w:val="431"/>
        </w:trPr>
        <w:tc>
          <w:tcPr>
            <w:tcW w:w="1731" w:type="dxa"/>
            <w:tcBorders>
              <w:top w:val="single" w:sz="4" w:space="0" w:color="auto"/>
              <w:left w:val="single" w:sz="4" w:space="0" w:color="auto"/>
              <w:bottom w:val="single" w:sz="4" w:space="0" w:color="auto"/>
              <w:right w:val="single" w:sz="4" w:space="0" w:color="auto"/>
            </w:tcBorders>
            <w:shd w:val="clear" w:color="auto" w:fill="DAEEF3"/>
            <w:vAlign w:val="center"/>
          </w:tcPr>
          <w:p w:rsidR="0017585D" w:rsidRPr="00B92503" w:rsidRDefault="0017585D" w:rsidP="00B92503">
            <w:pPr>
              <w:autoSpaceDE w:val="0"/>
              <w:autoSpaceDN w:val="0"/>
              <w:adjustRightInd w:val="0"/>
              <w:jc w:val="center"/>
              <w:rPr>
                <w:rFonts w:cs="Arial"/>
                <w:color w:val="000000"/>
                <w:szCs w:val="24"/>
                <w:lang w:val="en-US"/>
              </w:rPr>
            </w:pPr>
          </w:p>
        </w:tc>
        <w:tc>
          <w:tcPr>
            <w:tcW w:w="1988" w:type="dxa"/>
            <w:tcBorders>
              <w:top w:val="single" w:sz="4" w:space="0" w:color="auto"/>
              <w:left w:val="single" w:sz="4" w:space="0" w:color="auto"/>
              <w:bottom w:val="single" w:sz="4" w:space="0" w:color="auto"/>
              <w:right w:val="single" w:sz="4" w:space="0" w:color="auto"/>
            </w:tcBorders>
            <w:shd w:val="clear" w:color="auto" w:fill="DAEEF3"/>
            <w:vAlign w:val="center"/>
          </w:tcPr>
          <w:p w:rsidR="0017585D" w:rsidRPr="00B92503" w:rsidRDefault="0017585D" w:rsidP="00B92503">
            <w:pPr>
              <w:autoSpaceDE w:val="0"/>
              <w:autoSpaceDN w:val="0"/>
              <w:adjustRightInd w:val="0"/>
              <w:jc w:val="center"/>
              <w:rPr>
                <w:rFonts w:cs="Arial"/>
                <w:color w:val="000000"/>
                <w:szCs w:val="24"/>
                <w:lang w:val="en-US"/>
              </w:rPr>
            </w:pPr>
            <w:r w:rsidRPr="00B92503">
              <w:rPr>
                <w:rFonts w:cs="Arial"/>
                <w:color w:val="000000"/>
                <w:szCs w:val="24"/>
                <w:lang w:val="en-US"/>
              </w:rPr>
              <w:t>Domestic care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tcPr>
          <w:p w:rsidR="0017585D" w:rsidRPr="00B92503" w:rsidRDefault="0017585D" w:rsidP="00B92503">
            <w:pPr>
              <w:autoSpaceDE w:val="0"/>
              <w:autoSpaceDN w:val="0"/>
              <w:adjustRightInd w:val="0"/>
              <w:jc w:val="center"/>
              <w:rPr>
                <w:rFonts w:cs="Arial"/>
                <w:color w:val="000000"/>
                <w:szCs w:val="24"/>
                <w:lang w:val="en-US"/>
              </w:rPr>
            </w:pPr>
            <w:r w:rsidRPr="00B92503">
              <w:rPr>
                <w:rFonts w:cs="Arial"/>
                <w:color w:val="000000"/>
                <w:szCs w:val="24"/>
                <w:lang w:val="en-US"/>
              </w:rPr>
              <w:t>Institutional care</w:t>
            </w:r>
          </w:p>
        </w:tc>
        <w:tc>
          <w:tcPr>
            <w:tcW w:w="992" w:type="dxa"/>
            <w:tcBorders>
              <w:top w:val="single" w:sz="4" w:space="0" w:color="auto"/>
              <w:left w:val="single" w:sz="4" w:space="0" w:color="auto"/>
              <w:bottom w:val="single" w:sz="4" w:space="0" w:color="auto"/>
              <w:right w:val="single" w:sz="4" w:space="0" w:color="auto"/>
            </w:tcBorders>
            <w:shd w:val="clear" w:color="auto" w:fill="DAEEF3"/>
            <w:vAlign w:val="center"/>
          </w:tcPr>
          <w:p w:rsidR="0017585D" w:rsidRPr="00B92503" w:rsidRDefault="0017585D" w:rsidP="00B92503">
            <w:pPr>
              <w:autoSpaceDE w:val="0"/>
              <w:autoSpaceDN w:val="0"/>
              <w:adjustRightInd w:val="0"/>
              <w:jc w:val="center"/>
              <w:rPr>
                <w:rFonts w:cs="Arial"/>
                <w:color w:val="000000"/>
                <w:szCs w:val="24"/>
                <w:lang w:val="en-US"/>
              </w:rPr>
            </w:pPr>
            <w:r w:rsidRPr="00B92503">
              <w:rPr>
                <w:rFonts w:cs="Arial"/>
                <w:color w:val="000000"/>
                <w:szCs w:val="24"/>
                <w:lang w:val="en-US"/>
              </w:rPr>
              <w:t>All</w:t>
            </w:r>
          </w:p>
        </w:tc>
        <w:tc>
          <w:tcPr>
            <w:tcW w:w="1985" w:type="dxa"/>
            <w:tcBorders>
              <w:top w:val="single" w:sz="4" w:space="0" w:color="auto"/>
              <w:left w:val="single" w:sz="4" w:space="0" w:color="auto"/>
              <w:bottom w:val="single" w:sz="4" w:space="0" w:color="auto"/>
              <w:right w:val="single" w:sz="4" w:space="0" w:color="auto"/>
            </w:tcBorders>
            <w:shd w:val="clear" w:color="auto" w:fill="DAEEF3"/>
            <w:vAlign w:val="center"/>
          </w:tcPr>
          <w:p w:rsidR="0017585D" w:rsidRPr="00F92E05" w:rsidRDefault="0017585D" w:rsidP="00B92503">
            <w:pPr>
              <w:autoSpaceDE w:val="0"/>
              <w:autoSpaceDN w:val="0"/>
              <w:adjustRightInd w:val="0"/>
              <w:jc w:val="center"/>
              <w:rPr>
                <w:rFonts w:cs="Arial"/>
                <w:color w:val="000000"/>
                <w:szCs w:val="24"/>
                <w:lang w:val="en-US"/>
              </w:rPr>
            </w:pPr>
            <w:r w:rsidRPr="00F92E05">
              <w:rPr>
                <w:rFonts w:cs="Arial"/>
                <w:color w:val="000000"/>
                <w:szCs w:val="24"/>
                <w:lang w:val="en-US"/>
              </w:rPr>
              <w:t xml:space="preserve">Domestic care </w:t>
            </w:r>
            <w:r w:rsidR="00F92E05" w:rsidRPr="00F92E05">
              <w:rPr>
                <w:rFonts w:cs="Arial"/>
                <w:color w:val="000000"/>
                <w:szCs w:val="24"/>
                <w:lang w:val="en-US"/>
              </w:rPr>
              <w:t>%</w:t>
            </w:r>
          </w:p>
        </w:tc>
      </w:tr>
      <w:tr w:rsidR="001D0450" w:rsidRPr="00B92503" w:rsidTr="00F92E05">
        <w:trPr>
          <w:trHeight w:val="300"/>
        </w:trPr>
        <w:tc>
          <w:tcPr>
            <w:tcW w:w="1731" w:type="dxa"/>
            <w:tcBorders>
              <w:top w:val="single" w:sz="4" w:space="0" w:color="auto"/>
              <w:left w:val="single" w:sz="6" w:space="0" w:color="auto"/>
              <w:bottom w:val="single" w:sz="6" w:space="0" w:color="auto"/>
              <w:right w:val="single" w:sz="6" w:space="0" w:color="auto"/>
            </w:tcBorders>
            <w:shd w:val="clear" w:color="auto" w:fill="DAEEF3"/>
            <w:vAlign w:val="center"/>
          </w:tcPr>
          <w:p w:rsidR="0017585D" w:rsidRPr="00B92503" w:rsidRDefault="0017585D" w:rsidP="00B92503">
            <w:pPr>
              <w:autoSpaceDE w:val="0"/>
              <w:autoSpaceDN w:val="0"/>
              <w:adjustRightInd w:val="0"/>
              <w:jc w:val="center"/>
              <w:rPr>
                <w:rFonts w:cs="Arial"/>
                <w:color w:val="000000"/>
                <w:szCs w:val="24"/>
                <w:lang w:val="en-US"/>
              </w:rPr>
            </w:pPr>
            <w:r w:rsidRPr="00B92503">
              <w:rPr>
                <w:rFonts w:cs="Arial"/>
                <w:color w:val="000000"/>
                <w:szCs w:val="24"/>
                <w:lang w:val="en-US"/>
              </w:rPr>
              <w:t>0-19</w:t>
            </w:r>
          </w:p>
        </w:tc>
        <w:tc>
          <w:tcPr>
            <w:tcW w:w="1988" w:type="dxa"/>
            <w:tcBorders>
              <w:top w:val="single" w:sz="4" w:space="0" w:color="auto"/>
              <w:left w:val="single" w:sz="6" w:space="0" w:color="auto"/>
              <w:bottom w:val="single" w:sz="6" w:space="0" w:color="auto"/>
              <w:right w:val="single" w:sz="6" w:space="0" w:color="auto"/>
            </w:tcBorders>
            <w:vAlign w:val="center"/>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11</w:t>
            </w:r>
            <w:r w:rsidR="00F92E05">
              <w:rPr>
                <w:rFonts w:cs="Arial"/>
                <w:color w:val="000000"/>
                <w:szCs w:val="24"/>
              </w:rPr>
              <w:t>,</w:t>
            </w:r>
            <w:r w:rsidRPr="00B92503">
              <w:rPr>
                <w:rFonts w:cs="Arial"/>
                <w:color w:val="000000"/>
                <w:szCs w:val="24"/>
              </w:rPr>
              <w:t>4</w:t>
            </w:r>
          </w:p>
        </w:tc>
        <w:tc>
          <w:tcPr>
            <w:tcW w:w="2268" w:type="dxa"/>
            <w:tcBorders>
              <w:top w:val="single" w:sz="4" w:space="0" w:color="auto"/>
              <w:left w:val="single" w:sz="6" w:space="0" w:color="auto"/>
              <w:bottom w:val="single" w:sz="6" w:space="0" w:color="auto"/>
              <w:right w:val="single" w:sz="6" w:space="0" w:color="auto"/>
            </w:tcBorders>
            <w:vAlign w:val="center"/>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1</w:t>
            </w:r>
            <w:r w:rsidR="00F92E05">
              <w:rPr>
                <w:rFonts w:cs="Arial"/>
                <w:color w:val="000000"/>
                <w:szCs w:val="24"/>
              </w:rPr>
              <w:t>,</w:t>
            </w:r>
            <w:r w:rsidRPr="00B92503">
              <w:rPr>
                <w:rFonts w:cs="Arial"/>
                <w:color w:val="000000"/>
                <w:szCs w:val="24"/>
              </w:rPr>
              <w:t>7</w:t>
            </w:r>
          </w:p>
        </w:tc>
        <w:tc>
          <w:tcPr>
            <w:tcW w:w="992" w:type="dxa"/>
            <w:tcBorders>
              <w:top w:val="single" w:sz="4" w:space="0" w:color="auto"/>
              <w:left w:val="single" w:sz="6" w:space="0" w:color="auto"/>
              <w:bottom w:val="single" w:sz="6" w:space="0" w:color="auto"/>
              <w:right w:val="single" w:sz="6" w:space="0" w:color="auto"/>
            </w:tcBorders>
            <w:vAlign w:val="bottom"/>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13</w:t>
            </w:r>
            <w:r w:rsidR="00F92E05">
              <w:rPr>
                <w:rFonts w:cs="Arial"/>
                <w:color w:val="000000"/>
                <w:szCs w:val="24"/>
              </w:rPr>
              <w:t>,</w:t>
            </w:r>
            <w:r w:rsidRPr="00B92503">
              <w:rPr>
                <w:rFonts w:cs="Arial"/>
                <w:color w:val="000000"/>
                <w:szCs w:val="24"/>
              </w:rPr>
              <w:t>1</w:t>
            </w:r>
          </w:p>
        </w:tc>
        <w:tc>
          <w:tcPr>
            <w:tcW w:w="1985" w:type="dxa"/>
            <w:tcBorders>
              <w:top w:val="single" w:sz="4" w:space="0" w:color="auto"/>
              <w:left w:val="single" w:sz="6" w:space="0" w:color="auto"/>
              <w:bottom w:val="single" w:sz="6" w:space="0" w:color="auto"/>
              <w:right w:val="single" w:sz="6" w:space="0" w:color="auto"/>
            </w:tcBorders>
            <w:vAlign w:val="bottom"/>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87</w:t>
            </w:r>
            <w:r w:rsidR="00F92E05">
              <w:rPr>
                <w:rFonts w:cs="Arial"/>
                <w:color w:val="000000"/>
                <w:szCs w:val="24"/>
              </w:rPr>
              <w:t>,</w:t>
            </w:r>
            <w:r w:rsidRPr="00B92503">
              <w:rPr>
                <w:rFonts w:cs="Arial"/>
                <w:color w:val="000000"/>
                <w:szCs w:val="24"/>
              </w:rPr>
              <w:t>0</w:t>
            </w:r>
          </w:p>
        </w:tc>
      </w:tr>
      <w:tr w:rsidR="0017585D" w:rsidRPr="00B92503" w:rsidTr="00F92E05">
        <w:trPr>
          <w:trHeight w:val="300"/>
        </w:trPr>
        <w:tc>
          <w:tcPr>
            <w:tcW w:w="1731" w:type="dxa"/>
            <w:tcBorders>
              <w:top w:val="single" w:sz="6" w:space="0" w:color="auto"/>
              <w:left w:val="single" w:sz="6" w:space="0" w:color="auto"/>
              <w:bottom w:val="single" w:sz="6" w:space="0" w:color="auto"/>
              <w:right w:val="single" w:sz="6" w:space="0" w:color="auto"/>
            </w:tcBorders>
            <w:shd w:val="clear" w:color="auto" w:fill="DAEEF3"/>
            <w:vAlign w:val="center"/>
          </w:tcPr>
          <w:p w:rsidR="0017585D" w:rsidRPr="00B92503" w:rsidRDefault="0017585D" w:rsidP="00B92503">
            <w:pPr>
              <w:autoSpaceDE w:val="0"/>
              <w:autoSpaceDN w:val="0"/>
              <w:adjustRightInd w:val="0"/>
              <w:jc w:val="center"/>
              <w:rPr>
                <w:rFonts w:cs="Arial"/>
                <w:color w:val="000000"/>
                <w:szCs w:val="24"/>
                <w:lang w:val="en-US"/>
              </w:rPr>
            </w:pPr>
            <w:r w:rsidRPr="00B92503">
              <w:rPr>
                <w:rFonts w:cs="Arial"/>
                <w:color w:val="000000"/>
                <w:szCs w:val="24"/>
                <w:lang w:val="en-US"/>
              </w:rPr>
              <w:t>20-39</w:t>
            </w:r>
          </w:p>
        </w:tc>
        <w:tc>
          <w:tcPr>
            <w:tcW w:w="1988" w:type="dxa"/>
            <w:tcBorders>
              <w:top w:val="single" w:sz="6" w:space="0" w:color="auto"/>
              <w:left w:val="single" w:sz="6" w:space="0" w:color="auto"/>
              <w:bottom w:val="single" w:sz="6" w:space="0" w:color="auto"/>
              <w:right w:val="single" w:sz="6" w:space="0" w:color="auto"/>
            </w:tcBorders>
            <w:vAlign w:val="center"/>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11</w:t>
            </w:r>
            <w:r w:rsidR="00F92E05">
              <w:rPr>
                <w:rFonts w:cs="Arial"/>
                <w:color w:val="000000"/>
                <w:szCs w:val="24"/>
              </w:rPr>
              <w:t>,</w:t>
            </w:r>
            <w:r w:rsidRPr="00B92503">
              <w:rPr>
                <w:rFonts w:cs="Arial"/>
                <w:color w:val="000000"/>
                <w:szCs w:val="24"/>
              </w:rPr>
              <w:t>5</w:t>
            </w:r>
          </w:p>
        </w:tc>
        <w:tc>
          <w:tcPr>
            <w:tcW w:w="2268" w:type="dxa"/>
            <w:tcBorders>
              <w:top w:val="single" w:sz="6" w:space="0" w:color="auto"/>
              <w:left w:val="single" w:sz="6" w:space="0" w:color="auto"/>
              <w:bottom w:val="single" w:sz="6" w:space="0" w:color="auto"/>
              <w:right w:val="single" w:sz="6" w:space="0" w:color="auto"/>
            </w:tcBorders>
            <w:vAlign w:val="center"/>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9</w:t>
            </w:r>
            <w:r w:rsidR="00F92E05">
              <w:rPr>
                <w:rFonts w:cs="Arial"/>
                <w:color w:val="000000"/>
                <w:szCs w:val="24"/>
              </w:rPr>
              <w:t>,</w:t>
            </w:r>
            <w:r w:rsidRPr="00B92503">
              <w:rPr>
                <w:rFonts w:cs="Arial"/>
                <w:color w:val="000000"/>
                <w:szCs w:val="24"/>
              </w:rPr>
              <w:t>5</w:t>
            </w:r>
          </w:p>
        </w:tc>
        <w:tc>
          <w:tcPr>
            <w:tcW w:w="992" w:type="dxa"/>
            <w:tcBorders>
              <w:top w:val="single" w:sz="6" w:space="0" w:color="auto"/>
              <w:left w:val="single" w:sz="6" w:space="0" w:color="auto"/>
              <w:bottom w:val="single" w:sz="6" w:space="0" w:color="auto"/>
              <w:right w:val="single" w:sz="6" w:space="0" w:color="auto"/>
            </w:tcBorders>
            <w:vAlign w:val="bottom"/>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21</w:t>
            </w:r>
            <w:r w:rsidR="00F92E05">
              <w:rPr>
                <w:rFonts w:cs="Arial"/>
                <w:color w:val="000000"/>
                <w:szCs w:val="24"/>
              </w:rPr>
              <w:t>,</w:t>
            </w:r>
            <w:r w:rsidRPr="00B92503">
              <w:rPr>
                <w:rFonts w:cs="Arial"/>
                <w:color w:val="000000"/>
                <w:szCs w:val="24"/>
              </w:rPr>
              <w:t>0</w:t>
            </w:r>
          </w:p>
        </w:tc>
        <w:tc>
          <w:tcPr>
            <w:tcW w:w="1985" w:type="dxa"/>
            <w:tcBorders>
              <w:top w:val="single" w:sz="6" w:space="0" w:color="auto"/>
              <w:left w:val="single" w:sz="6" w:space="0" w:color="auto"/>
              <w:bottom w:val="single" w:sz="6" w:space="0" w:color="auto"/>
              <w:right w:val="single" w:sz="6" w:space="0" w:color="auto"/>
            </w:tcBorders>
            <w:vAlign w:val="bottom"/>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54</w:t>
            </w:r>
            <w:r w:rsidR="00F92E05">
              <w:rPr>
                <w:rFonts w:cs="Arial"/>
                <w:color w:val="000000"/>
                <w:szCs w:val="24"/>
              </w:rPr>
              <w:t>,</w:t>
            </w:r>
            <w:r w:rsidRPr="00B92503">
              <w:rPr>
                <w:rFonts w:cs="Arial"/>
                <w:color w:val="000000"/>
                <w:szCs w:val="24"/>
              </w:rPr>
              <w:t>8</w:t>
            </w:r>
          </w:p>
        </w:tc>
      </w:tr>
      <w:tr w:rsidR="0017585D" w:rsidRPr="00B92503" w:rsidTr="00F92E05">
        <w:trPr>
          <w:trHeight w:val="300"/>
        </w:trPr>
        <w:tc>
          <w:tcPr>
            <w:tcW w:w="1731" w:type="dxa"/>
            <w:tcBorders>
              <w:top w:val="single" w:sz="6" w:space="0" w:color="auto"/>
              <w:left w:val="single" w:sz="6" w:space="0" w:color="auto"/>
              <w:bottom w:val="single" w:sz="6" w:space="0" w:color="auto"/>
              <w:right w:val="single" w:sz="6" w:space="0" w:color="auto"/>
            </w:tcBorders>
            <w:shd w:val="clear" w:color="auto" w:fill="DAEEF3"/>
            <w:vAlign w:val="center"/>
          </w:tcPr>
          <w:p w:rsidR="0017585D" w:rsidRPr="00B92503" w:rsidRDefault="0017585D" w:rsidP="00B92503">
            <w:pPr>
              <w:autoSpaceDE w:val="0"/>
              <w:autoSpaceDN w:val="0"/>
              <w:adjustRightInd w:val="0"/>
              <w:jc w:val="center"/>
              <w:rPr>
                <w:rFonts w:cs="Arial"/>
                <w:color w:val="000000"/>
                <w:szCs w:val="24"/>
                <w:lang w:val="en-US"/>
              </w:rPr>
            </w:pPr>
            <w:r w:rsidRPr="00B92503">
              <w:rPr>
                <w:rFonts w:cs="Arial"/>
                <w:color w:val="000000"/>
                <w:szCs w:val="24"/>
                <w:lang w:val="en-US"/>
              </w:rPr>
              <w:t>40-59</w:t>
            </w:r>
          </w:p>
        </w:tc>
        <w:tc>
          <w:tcPr>
            <w:tcW w:w="1988" w:type="dxa"/>
            <w:tcBorders>
              <w:top w:val="single" w:sz="6" w:space="0" w:color="auto"/>
              <w:left w:val="single" w:sz="6" w:space="0" w:color="auto"/>
              <w:bottom w:val="single" w:sz="6" w:space="0" w:color="auto"/>
              <w:right w:val="single" w:sz="6" w:space="0" w:color="auto"/>
            </w:tcBorders>
            <w:vAlign w:val="center"/>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18</w:t>
            </w:r>
            <w:r w:rsidR="00F92E05">
              <w:rPr>
                <w:rFonts w:cs="Arial"/>
                <w:color w:val="000000"/>
                <w:szCs w:val="24"/>
              </w:rPr>
              <w:t>,</w:t>
            </w:r>
            <w:r w:rsidRPr="00B92503">
              <w:rPr>
                <w:rFonts w:cs="Arial"/>
                <w:color w:val="000000"/>
                <w:szCs w:val="24"/>
              </w:rPr>
              <w:t>6</w:t>
            </w:r>
          </w:p>
        </w:tc>
        <w:tc>
          <w:tcPr>
            <w:tcW w:w="2268" w:type="dxa"/>
            <w:tcBorders>
              <w:top w:val="single" w:sz="6" w:space="0" w:color="auto"/>
              <w:left w:val="single" w:sz="6" w:space="0" w:color="auto"/>
              <w:bottom w:val="single" w:sz="6" w:space="0" w:color="auto"/>
              <w:right w:val="single" w:sz="6" w:space="0" w:color="auto"/>
            </w:tcBorders>
            <w:vAlign w:val="center"/>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21</w:t>
            </w:r>
            <w:r w:rsidR="00F92E05">
              <w:rPr>
                <w:rFonts w:cs="Arial"/>
                <w:color w:val="000000"/>
                <w:szCs w:val="24"/>
              </w:rPr>
              <w:t>,</w:t>
            </w:r>
            <w:r w:rsidRPr="00B92503">
              <w:rPr>
                <w:rFonts w:cs="Arial"/>
                <w:color w:val="000000"/>
                <w:szCs w:val="24"/>
              </w:rPr>
              <w:t>1</w:t>
            </w:r>
          </w:p>
        </w:tc>
        <w:tc>
          <w:tcPr>
            <w:tcW w:w="992" w:type="dxa"/>
            <w:tcBorders>
              <w:top w:val="single" w:sz="6" w:space="0" w:color="auto"/>
              <w:left w:val="single" w:sz="6" w:space="0" w:color="auto"/>
              <w:bottom w:val="single" w:sz="6" w:space="0" w:color="auto"/>
              <w:right w:val="single" w:sz="6" w:space="0" w:color="auto"/>
            </w:tcBorders>
            <w:vAlign w:val="bottom"/>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39</w:t>
            </w:r>
            <w:r w:rsidR="00F92E05">
              <w:rPr>
                <w:rFonts w:cs="Arial"/>
                <w:color w:val="000000"/>
                <w:szCs w:val="24"/>
              </w:rPr>
              <w:t>,</w:t>
            </w:r>
            <w:r w:rsidRPr="00B92503">
              <w:rPr>
                <w:rFonts w:cs="Arial"/>
                <w:color w:val="000000"/>
                <w:szCs w:val="24"/>
              </w:rPr>
              <w:t>7</w:t>
            </w:r>
          </w:p>
        </w:tc>
        <w:tc>
          <w:tcPr>
            <w:tcW w:w="1985" w:type="dxa"/>
            <w:tcBorders>
              <w:top w:val="single" w:sz="6" w:space="0" w:color="auto"/>
              <w:left w:val="single" w:sz="6" w:space="0" w:color="auto"/>
              <w:bottom w:val="single" w:sz="6" w:space="0" w:color="auto"/>
              <w:right w:val="single" w:sz="6" w:space="0" w:color="auto"/>
            </w:tcBorders>
            <w:vAlign w:val="bottom"/>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46</w:t>
            </w:r>
            <w:r w:rsidR="00F92E05">
              <w:rPr>
                <w:rFonts w:cs="Arial"/>
                <w:color w:val="000000"/>
                <w:szCs w:val="24"/>
              </w:rPr>
              <w:t>,</w:t>
            </w:r>
            <w:r w:rsidRPr="00B92503">
              <w:rPr>
                <w:rFonts w:cs="Arial"/>
                <w:color w:val="000000"/>
                <w:szCs w:val="24"/>
              </w:rPr>
              <w:t>9</w:t>
            </w:r>
          </w:p>
        </w:tc>
      </w:tr>
      <w:tr w:rsidR="0017585D" w:rsidRPr="00B92503" w:rsidTr="00F92E05">
        <w:trPr>
          <w:trHeight w:val="300"/>
        </w:trPr>
        <w:tc>
          <w:tcPr>
            <w:tcW w:w="1731" w:type="dxa"/>
            <w:tcBorders>
              <w:top w:val="single" w:sz="6" w:space="0" w:color="auto"/>
              <w:left w:val="single" w:sz="6" w:space="0" w:color="auto"/>
              <w:bottom w:val="single" w:sz="6" w:space="0" w:color="auto"/>
              <w:right w:val="single" w:sz="6" w:space="0" w:color="auto"/>
            </w:tcBorders>
            <w:shd w:val="clear" w:color="auto" w:fill="DAEEF3"/>
            <w:vAlign w:val="center"/>
          </w:tcPr>
          <w:p w:rsidR="0017585D" w:rsidRPr="00B92503" w:rsidRDefault="0017585D" w:rsidP="00B92503">
            <w:pPr>
              <w:autoSpaceDE w:val="0"/>
              <w:autoSpaceDN w:val="0"/>
              <w:adjustRightInd w:val="0"/>
              <w:jc w:val="center"/>
              <w:rPr>
                <w:rFonts w:cs="Arial"/>
                <w:color w:val="000000"/>
                <w:szCs w:val="24"/>
                <w:lang w:val="en-US"/>
              </w:rPr>
            </w:pPr>
            <w:r w:rsidRPr="00B92503">
              <w:rPr>
                <w:rFonts w:cs="Arial"/>
                <w:color w:val="000000"/>
                <w:szCs w:val="24"/>
                <w:lang w:val="en-US"/>
              </w:rPr>
              <w:t>60-69</w:t>
            </w:r>
          </w:p>
        </w:tc>
        <w:tc>
          <w:tcPr>
            <w:tcW w:w="1988" w:type="dxa"/>
            <w:tcBorders>
              <w:top w:val="single" w:sz="6" w:space="0" w:color="auto"/>
              <w:left w:val="single" w:sz="6" w:space="0" w:color="auto"/>
              <w:bottom w:val="single" w:sz="6" w:space="0" w:color="auto"/>
              <w:right w:val="single" w:sz="6" w:space="0" w:color="auto"/>
            </w:tcBorders>
            <w:vAlign w:val="center"/>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22</w:t>
            </w:r>
            <w:r w:rsidR="00F92E05">
              <w:rPr>
                <w:rFonts w:cs="Arial"/>
                <w:color w:val="000000"/>
                <w:szCs w:val="24"/>
              </w:rPr>
              <w:t>,</w:t>
            </w:r>
            <w:r w:rsidRPr="00B92503">
              <w:rPr>
                <w:rFonts w:cs="Arial"/>
                <w:color w:val="000000"/>
                <w:szCs w:val="24"/>
              </w:rPr>
              <w:t>2</w:t>
            </w:r>
          </w:p>
        </w:tc>
        <w:tc>
          <w:tcPr>
            <w:tcW w:w="2268" w:type="dxa"/>
            <w:tcBorders>
              <w:top w:val="single" w:sz="6" w:space="0" w:color="auto"/>
              <w:left w:val="single" w:sz="6" w:space="0" w:color="auto"/>
              <w:bottom w:val="single" w:sz="6" w:space="0" w:color="auto"/>
              <w:right w:val="single" w:sz="6" w:space="0" w:color="auto"/>
            </w:tcBorders>
            <w:vAlign w:val="center"/>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19</w:t>
            </w:r>
            <w:r w:rsidR="00F92E05">
              <w:rPr>
                <w:rFonts w:cs="Arial"/>
                <w:color w:val="000000"/>
                <w:szCs w:val="24"/>
              </w:rPr>
              <w:t>,</w:t>
            </w:r>
            <w:r w:rsidRPr="00B92503">
              <w:rPr>
                <w:rFonts w:cs="Arial"/>
                <w:color w:val="000000"/>
                <w:szCs w:val="24"/>
              </w:rPr>
              <w:t>5</w:t>
            </w:r>
          </w:p>
        </w:tc>
        <w:tc>
          <w:tcPr>
            <w:tcW w:w="992" w:type="dxa"/>
            <w:tcBorders>
              <w:top w:val="single" w:sz="6" w:space="0" w:color="auto"/>
              <w:left w:val="single" w:sz="6" w:space="0" w:color="auto"/>
              <w:bottom w:val="single" w:sz="6" w:space="0" w:color="auto"/>
              <w:right w:val="single" w:sz="6" w:space="0" w:color="auto"/>
            </w:tcBorders>
            <w:vAlign w:val="bottom"/>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41</w:t>
            </w:r>
            <w:r w:rsidR="00F92E05">
              <w:rPr>
                <w:rFonts w:cs="Arial"/>
                <w:color w:val="000000"/>
                <w:szCs w:val="24"/>
              </w:rPr>
              <w:t>,</w:t>
            </w:r>
            <w:r w:rsidRPr="00B92503">
              <w:rPr>
                <w:rFonts w:cs="Arial"/>
                <w:color w:val="000000"/>
                <w:szCs w:val="24"/>
              </w:rPr>
              <w:t>7</w:t>
            </w:r>
          </w:p>
        </w:tc>
        <w:tc>
          <w:tcPr>
            <w:tcW w:w="1985" w:type="dxa"/>
            <w:tcBorders>
              <w:top w:val="single" w:sz="6" w:space="0" w:color="auto"/>
              <w:left w:val="single" w:sz="6" w:space="0" w:color="auto"/>
              <w:bottom w:val="single" w:sz="6" w:space="0" w:color="auto"/>
              <w:right w:val="single" w:sz="6" w:space="0" w:color="auto"/>
            </w:tcBorders>
            <w:vAlign w:val="bottom"/>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53</w:t>
            </w:r>
            <w:r w:rsidR="00F92E05">
              <w:rPr>
                <w:rFonts w:cs="Arial"/>
                <w:color w:val="000000"/>
                <w:szCs w:val="24"/>
              </w:rPr>
              <w:t>,</w:t>
            </w:r>
            <w:r w:rsidRPr="00B92503">
              <w:rPr>
                <w:rFonts w:cs="Arial"/>
                <w:color w:val="000000"/>
                <w:szCs w:val="24"/>
              </w:rPr>
              <w:t>2</w:t>
            </w:r>
          </w:p>
        </w:tc>
      </w:tr>
      <w:tr w:rsidR="0017585D" w:rsidRPr="00B92503" w:rsidTr="00F92E05">
        <w:trPr>
          <w:trHeight w:val="300"/>
        </w:trPr>
        <w:tc>
          <w:tcPr>
            <w:tcW w:w="1731" w:type="dxa"/>
            <w:tcBorders>
              <w:top w:val="single" w:sz="6" w:space="0" w:color="auto"/>
              <w:left w:val="single" w:sz="6" w:space="0" w:color="auto"/>
              <w:bottom w:val="single" w:sz="6" w:space="0" w:color="auto"/>
              <w:right w:val="single" w:sz="6" w:space="0" w:color="auto"/>
            </w:tcBorders>
            <w:shd w:val="clear" w:color="auto" w:fill="DAEEF3"/>
            <w:vAlign w:val="center"/>
          </w:tcPr>
          <w:p w:rsidR="0017585D" w:rsidRPr="00B92503" w:rsidRDefault="0017585D" w:rsidP="00B92503">
            <w:pPr>
              <w:autoSpaceDE w:val="0"/>
              <w:autoSpaceDN w:val="0"/>
              <w:adjustRightInd w:val="0"/>
              <w:jc w:val="center"/>
              <w:rPr>
                <w:rFonts w:cs="Arial"/>
                <w:color w:val="000000"/>
                <w:szCs w:val="24"/>
                <w:lang w:val="en-US"/>
              </w:rPr>
            </w:pPr>
            <w:r w:rsidRPr="00B92503">
              <w:rPr>
                <w:rFonts w:cs="Arial"/>
                <w:color w:val="000000"/>
                <w:szCs w:val="24"/>
                <w:lang w:val="en-US"/>
              </w:rPr>
              <w:t>70-79</w:t>
            </w:r>
          </w:p>
        </w:tc>
        <w:tc>
          <w:tcPr>
            <w:tcW w:w="1988" w:type="dxa"/>
            <w:tcBorders>
              <w:top w:val="single" w:sz="6" w:space="0" w:color="auto"/>
              <w:left w:val="single" w:sz="6" w:space="0" w:color="auto"/>
              <w:bottom w:val="single" w:sz="6" w:space="0" w:color="auto"/>
              <w:right w:val="single" w:sz="6" w:space="0" w:color="auto"/>
            </w:tcBorders>
            <w:vAlign w:val="center"/>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46</w:t>
            </w:r>
            <w:r w:rsidR="00F92E05">
              <w:rPr>
                <w:rFonts w:cs="Arial"/>
                <w:color w:val="000000"/>
                <w:szCs w:val="24"/>
              </w:rPr>
              <w:t>,</w:t>
            </w:r>
            <w:r w:rsidRPr="00B92503">
              <w:rPr>
                <w:rFonts w:cs="Arial"/>
                <w:color w:val="000000"/>
                <w:szCs w:val="24"/>
              </w:rPr>
              <w:t>3</w:t>
            </w:r>
          </w:p>
        </w:tc>
        <w:tc>
          <w:tcPr>
            <w:tcW w:w="2268" w:type="dxa"/>
            <w:tcBorders>
              <w:top w:val="single" w:sz="6" w:space="0" w:color="auto"/>
              <w:left w:val="single" w:sz="6" w:space="0" w:color="auto"/>
              <w:bottom w:val="single" w:sz="6" w:space="0" w:color="auto"/>
              <w:right w:val="single" w:sz="6" w:space="0" w:color="auto"/>
            </w:tcBorders>
            <w:vAlign w:val="center"/>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40</w:t>
            </w:r>
            <w:r w:rsidR="00F92E05">
              <w:rPr>
                <w:rFonts w:cs="Arial"/>
                <w:color w:val="000000"/>
                <w:szCs w:val="24"/>
              </w:rPr>
              <w:t>,</w:t>
            </w:r>
            <w:r w:rsidRPr="00B92503">
              <w:rPr>
                <w:rFonts w:cs="Arial"/>
                <w:color w:val="000000"/>
                <w:szCs w:val="24"/>
              </w:rPr>
              <w:t>9</w:t>
            </w:r>
          </w:p>
        </w:tc>
        <w:tc>
          <w:tcPr>
            <w:tcW w:w="992" w:type="dxa"/>
            <w:tcBorders>
              <w:top w:val="single" w:sz="6" w:space="0" w:color="auto"/>
              <w:left w:val="single" w:sz="6" w:space="0" w:color="auto"/>
              <w:bottom w:val="single" w:sz="6" w:space="0" w:color="auto"/>
              <w:right w:val="single" w:sz="6" w:space="0" w:color="auto"/>
            </w:tcBorders>
            <w:vAlign w:val="bottom"/>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87</w:t>
            </w:r>
            <w:r w:rsidR="00F92E05">
              <w:rPr>
                <w:rFonts w:cs="Arial"/>
                <w:color w:val="000000"/>
                <w:szCs w:val="24"/>
              </w:rPr>
              <w:t>,</w:t>
            </w:r>
            <w:r w:rsidRPr="00B92503">
              <w:rPr>
                <w:rFonts w:cs="Arial"/>
                <w:color w:val="000000"/>
                <w:szCs w:val="24"/>
              </w:rPr>
              <w:t>2</w:t>
            </w:r>
          </w:p>
        </w:tc>
        <w:tc>
          <w:tcPr>
            <w:tcW w:w="1985" w:type="dxa"/>
            <w:tcBorders>
              <w:top w:val="single" w:sz="6" w:space="0" w:color="auto"/>
              <w:left w:val="single" w:sz="6" w:space="0" w:color="auto"/>
              <w:bottom w:val="single" w:sz="6" w:space="0" w:color="auto"/>
              <w:right w:val="single" w:sz="6" w:space="0" w:color="auto"/>
            </w:tcBorders>
            <w:vAlign w:val="bottom"/>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53</w:t>
            </w:r>
            <w:r w:rsidR="00F92E05">
              <w:rPr>
                <w:rFonts w:cs="Arial"/>
                <w:color w:val="000000"/>
                <w:szCs w:val="24"/>
              </w:rPr>
              <w:t>,</w:t>
            </w:r>
            <w:r w:rsidRPr="00B92503">
              <w:rPr>
                <w:rFonts w:cs="Arial"/>
                <w:color w:val="000000"/>
                <w:szCs w:val="24"/>
              </w:rPr>
              <w:t>1</w:t>
            </w:r>
          </w:p>
        </w:tc>
      </w:tr>
      <w:tr w:rsidR="0017585D" w:rsidRPr="00B92503" w:rsidTr="00F92E05">
        <w:trPr>
          <w:trHeight w:val="300"/>
        </w:trPr>
        <w:tc>
          <w:tcPr>
            <w:tcW w:w="1731" w:type="dxa"/>
            <w:tcBorders>
              <w:top w:val="single" w:sz="6" w:space="0" w:color="auto"/>
              <w:left w:val="single" w:sz="6" w:space="0" w:color="auto"/>
              <w:bottom w:val="single" w:sz="6" w:space="0" w:color="auto"/>
              <w:right w:val="single" w:sz="6" w:space="0" w:color="auto"/>
            </w:tcBorders>
            <w:shd w:val="clear" w:color="auto" w:fill="DAEEF3"/>
            <w:vAlign w:val="center"/>
          </w:tcPr>
          <w:p w:rsidR="0017585D" w:rsidRPr="00B92503" w:rsidRDefault="0017585D" w:rsidP="00B92503">
            <w:pPr>
              <w:autoSpaceDE w:val="0"/>
              <w:autoSpaceDN w:val="0"/>
              <w:adjustRightInd w:val="0"/>
              <w:jc w:val="center"/>
              <w:rPr>
                <w:rFonts w:cs="Arial"/>
                <w:color w:val="000000"/>
                <w:szCs w:val="24"/>
                <w:lang w:val="en-US"/>
              </w:rPr>
            </w:pPr>
            <w:r w:rsidRPr="00B92503">
              <w:rPr>
                <w:rFonts w:cs="Arial"/>
                <w:color w:val="000000"/>
                <w:szCs w:val="24"/>
                <w:lang w:val="en-US"/>
              </w:rPr>
              <w:t>80-89</w:t>
            </w:r>
          </w:p>
        </w:tc>
        <w:tc>
          <w:tcPr>
            <w:tcW w:w="1988" w:type="dxa"/>
            <w:tcBorders>
              <w:top w:val="single" w:sz="6" w:space="0" w:color="auto"/>
              <w:left w:val="single" w:sz="6" w:space="0" w:color="auto"/>
              <w:bottom w:val="single" w:sz="6" w:space="0" w:color="auto"/>
              <w:right w:val="single" w:sz="6" w:space="0" w:color="auto"/>
            </w:tcBorders>
            <w:vAlign w:val="center"/>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82</w:t>
            </w:r>
            <w:r w:rsidR="00F92E05">
              <w:rPr>
                <w:rFonts w:cs="Arial"/>
                <w:color w:val="000000"/>
                <w:szCs w:val="24"/>
              </w:rPr>
              <w:t>,</w:t>
            </w:r>
            <w:r w:rsidRPr="00B92503">
              <w:rPr>
                <w:rFonts w:cs="Arial"/>
                <w:color w:val="000000"/>
                <w:szCs w:val="24"/>
              </w:rPr>
              <w:t>5</w:t>
            </w:r>
          </w:p>
        </w:tc>
        <w:tc>
          <w:tcPr>
            <w:tcW w:w="2268" w:type="dxa"/>
            <w:tcBorders>
              <w:top w:val="single" w:sz="6" w:space="0" w:color="auto"/>
              <w:left w:val="single" w:sz="6" w:space="0" w:color="auto"/>
              <w:bottom w:val="single" w:sz="6" w:space="0" w:color="auto"/>
              <w:right w:val="single" w:sz="6" w:space="0" w:color="auto"/>
            </w:tcBorders>
            <w:vAlign w:val="center"/>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149</w:t>
            </w:r>
            <w:r w:rsidR="00F92E05">
              <w:rPr>
                <w:rFonts w:cs="Arial"/>
                <w:color w:val="000000"/>
                <w:szCs w:val="24"/>
              </w:rPr>
              <w:t>,</w:t>
            </w:r>
            <w:r w:rsidRPr="00B92503">
              <w:rPr>
                <w:rFonts w:cs="Arial"/>
                <w:color w:val="000000"/>
                <w:szCs w:val="24"/>
              </w:rPr>
              <w:t>1</w:t>
            </w:r>
          </w:p>
        </w:tc>
        <w:tc>
          <w:tcPr>
            <w:tcW w:w="992" w:type="dxa"/>
            <w:tcBorders>
              <w:top w:val="single" w:sz="6" w:space="0" w:color="auto"/>
              <w:left w:val="single" w:sz="6" w:space="0" w:color="auto"/>
              <w:bottom w:val="single" w:sz="6" w:space="0" w:color="auto"/>
              <w:right w:val="single" w:sz="6" w:space="0" w:color="auto"/>
            </w:tcBorders>
            <w:vAlign w:val="bottom"/>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231</w:t>
            </w:r>
            <w:r w:rsidR="00F92E05">
              <w:rPr>
                <w:rFonts w:cs="Arial"/>
                <w:color w:val="000000"/>
                <w:szCs w:val="24"/>
              </w:rPr>
              <w:t>,</w:t>
            </w:r>
            <w:r w:rsidRPr="00B92503">
              <w:rPr>
                <w:rFonts w:cs="Arial"/>
                <w:color w:val="000000"/>
                <w:szCs w:val="24"/>
              </w:rPr>
              <w:t>6</w:t>
            </w:r>
          </w:p>
        </w:tc>
        <w:tc>
          <w:tcPr>
            <w:tcW w:w="1985" w:type="dxa"/>
            <w:tcBorders>
              <w:top w:val="single" w:sz="6" w:space="0" w:color="auto"/>
              <w:left w:val="single" w:sz="6" w:space="0" w:color="auto"/>
              <w:bottom w:val="single" w:sz="6" w:space="0" w:color="auto"/>
              <w:right w:val="single" w:sz="6" w:space="0" w:color="auto"/>
            </w:tcBorders>
            <w:vAlign w:val="bottom"/>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35</w:t>
            </w:r>
            <w:r w:rsidR="00F92E05">
              <w:rPr>
                <w:rFonts w:cs="Arial"/>
                <w:color w:val="000000"/>
                <w:szCs w:val="24"/>
              </w:rPr>
              <w:t>,</w:t>
            </w:r>
            <w:r w:rsidRPr="00B92503">
              <w:rPr>
                <w:rFonts w:cs="Arial"/>
                <w:color w:val="000000"/>
                <w:szCs w:val="24"/>
              </w:rPr>
              <w:t>6</w:t>
            </w:r>
          </w:p>
        </w:tc>
      </w:tr>
      <w:tr w:rsidR="0017585D" w:rsidRPr="00B92503" w:rsidTr="00F92E05">
        <w:trPr>
          <w:trHeight w:val="300"/>
        </w:trPr>
        <w:tc>
          <w:tcPr>
            <w:tcW w:w="1731" w:type="dxa"/>
            <w:tcBorders>
              <w:top w:val="single" w:sz="6" w:space="0" w:color="auto"/>
              <w:left w:val="single" w:sz="6" w:space="0" w:color="auto"/>
              <w:bottom w:val="single" w:sz="6" w:space="0" w:color="auto"/>
              <w:right w:val="single" w:sz="6" w:space="0" w:color="auto"/>
            </w:tcBorders>
            <w:shd w:val="clear" w:color="auto" w:fill="DAEEF3"/>
            <w:vAlign w:val="center"/>
          </w:tcPr>
          <w:p w:rsidR="0017585D" w:rsidRPr="00B92503" w:rsidRDefault="0017585D" w:rsidP="00B92503">
            <w:pPr>
              <w:autoSpaceDE w:val="0"/>
              <w:autoSpaceDN w:val="0"/>
              <w:adjustRightInd w:val="0"/>
              <w:jc w:val="center"/>
              <w:rPr>
                <w:rFonts w:cs="Arial"/>
                <w:color w:val="000000"/>
                <w:szCs w:val="24"/>
                <w:lang w:val="en-US"/>
              </w:rPr>
            </w:pPr>
            <w:r w:rsidRPr="00B92503">
              <w:rPr>
                <w:rFonts w:cs="Arial"/>
                <w:color w:val="000000"/>
                <w:szCs w:val="24"/>
                <w:lang w:val="en-US"/>
              </w:rPr>
              <w:t>&gt;=90</w:t>
            </w:r>
          </w:p>
        </w:tc>
        <w:tc>
          <w:tcPr>
            <w:tcW w:w="1988" w:type="dxa"/>
            <w:tcBorders>
              <w:top w:val="single" w:sz="6" w:space="0" w:color="auto"/>
              <w:left w:val="single" w:sz="6" w:space="0" w:color="auto"/>
              <w:bottom w:val="single" w:sz="6" w:space="0" w:color="auto"/>
              <w:right w:val="single" w:sz="6" w:space="0" w:color="auto"/>
            </w:tcBorders>
            <w:vAlign w:val="center"/>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27</w:t>
            </w:r>
            <w:r w:rsidR="00F92E05">
              <w:rPr>
                <w:rFonts w:cs="Arial"/>
                <w:color w:val="000000"/>
                <w:szCs w:val="24"/>
              </w:rPr>
              <w:t>,</w:t>
            </w:r>
            <w:r w:rsidRPr="00B92503">
              <w:rPr>
                <w:rFonts w:cs="Arial"/>
                <w:color w:val="000000"/>
                <w:szCs w:val="24"/>
              </w:rPr>
              <w:t>9</w:t>
            </w:r>
          </w:p>
        </w:tc>
        <w:tc>
          <w:tcPr>
            <w:tcW w:w="2268" w:type="dxa"/>
            <w:tcBorders>
              <w:top w:val="single" w:sz="6" w:space="0" w:color="auto"/>
              <w:left w:val="single" w:sz="6" w:space="0" w:color="auto"/>
              <w:bottom w:val="single" w:sz="6" w:space="0" w:color="auto"/>
              <w:right w:val="single" w:sz="6" w:space="0" w:color="auto"/>
            </w:tcBorders>
            <w:vAlign w:val="center"/>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327</w:t>
            </w:r>
            <w:r w:rsidR="00F92E05">
              <w:rPr>
                <w:rFonts w:cs="Arial"/>
                <w:color w:val="000000"/>
                <w:szCs w:val="24"/>
              </w:rPr>
              <w:t>,</w:t>
            </w:r>
            <w:r w:rsidRPr="00B92503">
              <w:rPr>
                <w:rFonts w:cs="Arial"/>
                <w:color w:val="000000"/>
                <w:szCs w:val="24"/>
              </w:rPr>
              <w:t>5</w:t>
            </w:r>
          </w:p>
        </w:tc>
        <w:tc>
          <w:tcPr>
            <w:tcW w:w="992" w:type="dxa"/>
            <w:tcBorders>
              <w:top w:val="single" w:sz="6" w:space="0" w:color="auto"/>
              <w:left w:val="single" w:sz="6" w:space="0" w:color="auto"/>
              <w:bottom w:val="single" w:sz="6" w:space="0" w:color="auto"/>
              <w:right w:val="single" w:sz="6" w:space="0" w:color="auto"/>
            </w:tcBorders>
            <w:vAlign w:val="bottom"/>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113</w:t>
            </w:r>
            <w:r w:rsidR="00F92E05">
              <w:rPr>
                <w:rFonts w:cs="Arial"/>
                <w:color w:val="000000"/>
                <w:szCs w:val="24"/>
              </w:rPr>
              <w:t>,</w:t>
            </w:r>
            <w:r w:rsidRPr="00B92503">
              <w:rPr>
                <w:rFonts w:cs="Arial"/>
                <w:color w:val="000000"/>
                <w:szCs w:val="24"/>
              </w:rPr>
              <w:t>5</w:t>
            </w:r>
          </w:p>
        </w:tc>
        <w:tc>
          <w:tcPr>
            <w:tcW w:w="1985" w:type="dxa"/>
            <w:tcBorders>
              <w:top w:val="single" w:sz="6" w:space="0" w:color="auto"/>
              <w:left w:val="single" w:sz="6" w:space="0" w:color="auto"/>
              <w:bottom w:val="single" w:sz="6" w:space="0" w:color="auto"/>
              <w:right w:val="single" w:sz="6" w:space="0" w:color="auto"/>
            </w:tcBorders>
            <w:vAlign w:val="bottom"/>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24</w:t>
            </w:r>
            <w:r w:rsidR="00F92E05">
              <w:rPr>
                <w:rFonts w:cs="Arial"/>
                <w:color w:val="000000"/>
                <w:szCs w:val="24"/>
              </w:rPr>
              <w:t>,</w:t>
            </w:r>
            <w:r w:rsidRPr="00B92503">
              <w:rPr>
                <w:rFonts w:cs="Arial"/>
                <w:color w:val="000000"/>
                <w:szCs w:val="24"/>
              </w:rPr>
              <w:t>6</w:t>
            </w:r>
          </w:p>
        </w:tc>
      </w:tr>
      <w:tr w:rsidR="0017585D" w:rsidRPr="00B92503" w:rsidTr="00F92E05">
        <w:trPr>
          <w:trHeight w:val="300"/>
        </w:trPr>
        <w:tc>
          <w:tcPr>
            <w:tcW w:w="1731" w:type="dxa"/>
            <w:tcBorders>
              <w:top w:val="single" w:sz="6" w:space="0" w:color="auto"/>
              <w:left w:val="single" w:sz="6" w:space="0" w:color="auto"/>
              <w:bottom w:val="single" w:sz="6" w:space="0" w:color="auto"/>
              <w:right w:val="single" w:sz="6" w:space="0" w:color="auto"/>
            </w:tcBorders>
            <w:shd w:val="clear" w:color="auto" w:fill="DAEEF3"/>
            <w:vAlign w:val="center"/>
          </w:tcPr>
          <w:p w:rsidR="0017585D" w:rsidRPr="00B92503" w:rsidRDefault="0017585D" w:rsidP="00B92503">
            <w:pPr>
              <w:autoSpaceDE w:val="0"/>
              <w:autoSpaceDN w:val="0"/>
              <w:adjustRightInd w:val="0"/>
              <w:jc w:val="center"/>
              <w:rPr>
                <w:rFonts w:cs="Arial"/>
                <w:color w:val="000000"/>
                <w:szCs w:val="24"/>
                <w:lang w:val="en-US"/>
              </w:rPr>
            </w:pPr>
            <w:r w:rsidRPr="00B92503">
              <w:rPr>
                <w:rFonts w:cs="Arial"/>
                <w:color w:val="000000"/>
                <w:szCs w:val="24"/>
                <w:lang w:val="en-US"/>
              </w:rPr>
              <w:t>All</w:t>
            </w:r>
          </w:p>
        </w:tc>
        <w:tc>
          <w:tcPr>
            <w:tcW w:w="1988" w:type="dxa"/>
            <w:tcBorders>
              <w:top w:val="single" w:sz="6" w:space="0" w:color="auto"/>
              <w:left w:val="single" w:sz="6" w:space="0" w:color="auto"/>
              <w:bottom w:val="single" w:sz="6" w:space="0" w:color="auto"/>
              <w:right w:val="single" w:sz="6" w:space="0" w:color="auto"/>
            </w:tcBorders>
            <w:vAlign w:val="center"/>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220</w:t>
            </w:r>
            <w:r w:rsidR="00F92E05">
              <w:rPr>
                <w:rFonts w:cs="Arial"/>
                <w:color w:val="000000"/>
                <w:szCs w:val="24"/>
              </w:rPr>
              <w:t>,</w:t>
            </w:r>
            <w:r w:rsidRPr="00B92503">
              <w:rPr>
                <w:rFonts w:cs="Arial"/>
                <w:color w:val="000000"/>
                <w:szCs w:val="24"/>
              </w:rPr>
              <w:t>5</w:t>
            </w:r>
          </w:p>
        </w:tc>
        <w:tc>
          <w:tcPr>
            <w:tcW w:w="2268" w:type="dxa"/>
            <w:tcBorders>
              <w:top w:val="single" w:sz="6" w:space="0" w:color="auto"/>
              <w:left w:val="single" w:sz="6" w:space="0" w:color="auto"/>
              <w:bottom w:val="single" w:sz="6" w:space="0" w:color="auto"/>
              <w:right w:val="single" w:sz="6" w:space="0" w:color="auto"/>
            </w:tcBorders>
            <w:vAlign w:val="center"/>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4</w:t>
            </w:r>
            <w:r w:rsidR="00F92E05">
              <w:rPr>
                <w:rFonts w:cs="Arial"/>
                <w:color w:val="000000"/>
                <w:szCs w:val="24"/>
              </w:rPr>
              <w:t>,</w:t>
            </w:r>
            <w:r w:rsidRPr="00B92503">
              <w:rPr>
                <w:rFonts w:cs="Arial"/>
                <w:color w:val="000000"/>
                <w:szCs w:val="24"/>
              </w:rPr>
              <w:t>560</w:t>
            </w:r>
          </w:p>
        </w:tc>
        <w:tc>
          <w:tcPr>
            <w:tcW w:w="992" w:type="dxa"/>
            <w:tcBorders>
              <w:top w:val="single" w:sz="6" w:space="0" w:color="auto"/>
              <w:left w:val="single" w:sz="6" w:space="0" w:color="auto"/>
              <w:bottom w:val="single" w:sz="6" w:space="0" w:color="auto"/>
              <w:right w:val="single" w:sz="6" w:space="0" w:color="auto"/>
            </w:tcBorders>
            <w:vAlign w:val="bottom"/>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548</w:t>
            </w:r>
            <w:r w:rsidR="00F92E05">
              <w:rPr>
                <w:rFonts w:cs="Arial"/>
                <w:color w:val="000000"/>
                <w:szCs w:val="24"/>
              </w:rPr>
              <w:t>,</w:t>
            </w:r>
            <w:r w:rsidRPr="00B92503">
              <w:rPr>
                <w:rFonts w:cs="Arial"/>
                <w:color w:val="000000"/>
                <w:szCs w:val="24"/>
              </w:rPr>
              <w:t>0</w:t>
            </w:r>
          </w:p>
        </w:tc>
        <w:tc>
          <w:tcPr>
            <w:tcW w:w="1985" w:type="dxa"/>
            <w:tcBorders>
              <w:top w:val="single" w:sz="6" w:space="0" w:color="auto"/>
              <w:left w:val="single" w:sz="6" w:space="0" w:color="auto"/>
              <w:bottom w:val="single" w:sz="6" w:space="0" w:color="auto"/>
              <w:right w:val="single" w:sz="6" w:space="0" w:color="auto"/>
            </w:tcBorders>
            <w:vAlign w:val="bottom"/>
          </w:tcPr>
          <w:p w:rsidR="0017585D" w:rsidRPr="00B92503" w:rsidRDefault="0017585D" w:rsidP="00F92E05">
            <w:pPr>
              <w:autoSpaceDE w:val="0"/>
              <w:autoSpaceDN w:val="0"/>
              <w:adjustRightInd w:val="0"/>
              <w:jc w:val="right"/>
              <w:rPr>
                <w:rFonts w:cs="Arial"/>
                <w:color w:val="000000"/>
                <w:szCs w:val="24"/>
                <w:lang w:val="en-US"/>
              </w:rPr>
            </w:pPr>
            <w:r w:rsidRPr="00B92503">
              <w:rPr>
                <w:rFonts w:cs="Arial"/>
                <w:color w:val="000000"/>
                <w:szCs w:val="24"/>
              </w:rPr>
              <w:t>40</w:t>
            </w:r>
            <w:r w:rsidR="00F92E05">
              <w:rPr>
                <w:rFonts w:cs="Arial"/>
                <w:color w:val="000000"/>
                <w:szCs w:val="24"/>
              </w:rPr>
              <w:t>,</w:t>
            </w:r>
            <w:r w:rsidRPr="00B92503">
              <w:rPr>
                <w:rFonts w:cs="Arial"/>
                <w:color w:val="000000"/>
                <w:szCs w:val="24"/>
              </w:rPr>
              <w:t>2</w:t>
            </w:r>
          </w:p>
        </w:tc>
      </w:tr>
    </w:tbl>
    <w:p w:rsidR="0017585D" w:rsidRPr="00B92503" w:rsidRDefault="0017585D" w:rsidP="00B92503">
      <w:pPr>
        <w:rPr>
          <w:rFonts w:cs="Arial"/>
          <w:szCs w:val="24"/>
        </w:rPr>
      </w:pPr>
      <w:r w:rsidRPr="00B92503">
        <w:rPr>
          <w:rFonts w:cs="Arial"/>
          <w:szCs w:val="24"/>
        </w:rPr>
        <w:t>Source: compilation by the author based on data of the national care insurance</w:t>
      </w:r>
      <w:r w:rsidR="00DC7C32" w:rsidRPr="00B92503">
        <w:rPr>
          <w:rStyle w:val="FootnoteReference"/>
          <w:rFonts w:cs="Arial"/>
          <w:sz w:val="24"/>
          <w:szCs w:val="24"/>
        </w:rPr>
        <w:footnoteReference w:id="40"/>
      </w:r>
      <w:r w:rsidRPr="00B92503">
        <w:rPr>
          <w:rFonts w:cs="Arial"/>
          <w:szCs w:val="24"/>
        </w:rPr>
        <w:t xml:space="preserve"> </w:t>
      </w:r>
    </w:p>
    <w:p w:rsidR="00F92E05" w:rsidRDefault="00F92E05" w:rsidP="00B92503">
      <w:pPr>
        <w:rPr>
          <w:rFonts w:cs="Arial"/>
          <w:szCs w:val="24"/>
        </w:rPr>
      </w:pPr>
    </w:p>
    <w:p w:rsidR="007C344C" w:rsidRPr="00B92503" w:rsidRDefault="00B61E9A" w:rsidP="00B92503">
      <w:pPr>
        <w:rPr>
          <w:rFonts w:cs="Arial"/>
          <w:szCs w:val="24"/>
        </w:rPr>
      </w:pPr>
      <w:proofErr w:type="gramStart"/>
      <w:r w:rsidRPr="00B92503">
        <w:rPr>
          <w:rFonts w:cs="Arial"/>
          <w:szCs w:val="24"/>
        </w:rPr>
        <w:lastRenderedPageBreak/>
        <w:t>With regard to</w:t>
      </w:r>
      <w:proofErr w:type="gramEnd"/>
      <w:r w:rsidRPr="00B92503">
        <w:rPr>
          <w:rFonts w:cs="Arial"/>
          <w:szCs w:val="24"/>
        </w:rPr>
        <w:t xml:space="preserve"> nursing services, the same report states the distribution of financing between home </w:t>
      </w:r>
      <w:r w:rsidRPr="00F92E05">
        <w:rPr>
          <w:rFonts w:cs="Arial"/>
          <w:szCs w:val="24"/>
        </w:rPr>
        <w:t>care and inpatient care in 2016 as follows: home care (</w:t>
      </w:r>
      <w:proofErr w:type="spellStart"/>
      <w:r w:rsidRPr="00F92E05">
        <w:rPr>
          <w:rFonts w:cs="Arial"/>
          <w:i/>
          <w:szCs w:val="24"/>
        </w:rPr>
        <w:t>prestations</w:t>
      </w:r>
      <w:proofErr w:type="spellEnd"/>
      <w:r w:rsidRPr="00F92E05">
        <w:rPr>
          <w:rFonts w:cs="Arial"/>
          <w:i/>
          <w:szCs w:val="24"/>
        </w:rPr>
        <w:t xml:space="preserve"> à domicile</w:t>
      </w:r>
      <w:r w:rsidRPr="00F92E05">
        <w:rPr>
          <w:rFonts w:cs="Arial"/>
          <w:szCs w:val="24"/>
        </w:rPr>
        <w:t xml:space="preserve">) </w:t>
      </w:r>
      <w:r w:rsidR="007C46AB">
        <w:rPr>
          <w:rFonts w:cs="Arial"/>
          <w:szCs w:val="24"/>
        </w:rPr>
        <w:t xml:space="preserve">EUR </w:t>
      </w:r>
      <w:r w:rsidRPr="00F92E05">
        <w:rPr>
          <w:rFonts w:cs="Arial"/>
          <w:szCs w:val="24"/>
        </w:rPr>
        <w:t>211</w:t>
      </w:r>
      <w:r w:rsidR="00F92E05" w:rsidRPr="00F92E05">
        <w:rPr>
          <w:rFonts w:cs="Arial"/>
          <w:szCs w:val="24"/>
        </w:rPr>
        <w:t xml:space="preserve"> </w:t>
      </w:r>
      <w:r w:rsidRPr="00F92E05">
        <w:rPr>
          <w:rFonts w:cs="Arial"/>
          <w:szCs w:val="24"/>
        </w:rPr>
        <w:t>milli</w:t>
      </w:r>
      <w:r w:rsidR="007C4D2B" w:rsidRPr="00F92E05">
        <w:rPr>
          <w:rFonts w:cs="Arial"/>
          <w:szCs w:val="24"/>
        </w:rPr>
        <w:t>o</w:t>
      </w:r>
      <w:r w:rsidRPr="00F92E05">
        <w:rPr>
          <w:rFonts w:cs="Arial"/>
          <w:szCs w:val="24"/>
        </w:rPr>
        <w:t>n versus stationary care (</w:t>
      </w:r>
      <w:r w:rsidRPr="00F92E05">
        <w:rPr>
          <w:rFonts w:cs="Arial"/>
          <w:i/>
          <w:szCs w:val="24"/>
        </w:rPr>
        <w:t xml:space="preserve">prestation </w:t>
      </w:r>
      <w:proofErr w:type="spellStart"/>
      <w:r w:rsidRPr="00F92E05">
        <w:rPr>
          <w:rFonts w:cs="Arial"/>
          <w:i/>
          <w:szCs w:val="24"/>
        </w:rPr>
        <w:t>en</w:t>
      </w:r>
      <w:proofErr w:type="spellEnd"/>
      <w:r w:rsidRPr="00F92E05">
        <w:rPr>
          <w:rFonts w:cs="Arial"/>
          <w:i/>
          <w:szCs w:val="24"/>
        </w:rPr>
        <w:t xml:space="preserve"> milieu </w:t>
      </w:r>
      <w:proofErr w:type="spellStart"/>
      <w:r w:rsidRPr="00F92E05">
        <w:rPr>
          <w:rFonts w:cs="Arial"/>
          <w:i/>
          <w:szCs w:val="24"/>
        </w:rPr>
        <w:t>stationaire</w:t>
      </w:r>
      <w:proofErr w:type="spellEnd"/>
      <w:r w:rsidRPr="00F92E05">
        <w:rPr>
          <w:rFonts w:cs="Arial"/>
          <w:szCs w:val="24"/>
        </w:rPr>
        <w:t xml:space="preserve">) </w:t>
      </w:r>
      <w:r w:rsidR="007C46AB">
        <w:rPr>
          <w:rFonts w:cs="Arial"/>
          <w:szCs w:val="24"/>
        </w:rPr>
        <w:t>EUR </w:t>
      </w:r>
      <w:r w:rsidRPr="00F92E05">
        <w:rPr>
          <w:rFonts w:cs="Arial"/>
          <w:szCs w:val="24"/>
        </w:rPr>
        <w:t xml:space="preserve">308.4 million. </w:t>
      </w:r>
    </w:p>
    <w:p w:rsidR="00420992" w:rsidRPr="00B92503" w:rsidRDefault="00420992" w:rsidP="00B92503">
      <w:pPr>
        <w:rPr>
          <w:rFonts w:cs="Arial"/>
          <w:szCs w:val="24"/>
        </w:rPr>
      </w:pPr>
    </w:p>
    <w:p w:rsidR="0017585D" w:rsidRPr="00B92503" w:rsidRDefault="00195853" w:rsidP="00B92503">
      <w:pPr>
        <w:rPr>
          <w:rFonts w:cs="Arial"/>
          <w:szCs w:val="24"/>
        </w:rPr>
      </w:pPr>
      <w:r w:rsidRPr="00B92503">
        <w:rPr>
          <w:rFonts w:cs="Arial"/>
          <w:szCs w:val="24"/>
        </w:rPr>
        <w:t>As the preceding table</w:t>
      </w:r>
      <w:r w:rsidR="00B61E9A" w:rsidRPr="00B92503">
        <w:rPr>
          <w:rFonts w:cs="Arial"/>
          <w:szCs w:val="24"/>
        </w:rPr>
        <w:t>s</w:t>
      </w:r>
      <w:r w:rsidRPr="00B92503">
        <w:rPr>
          <w:rFonts w:cs="Arial"/>
          <w:szCs w:val="24"/>
        </w:rPr>
        <w:t xml:space="preserve"> show, financial support for home care predominates in the early and middle stages of life, while financing institutional measures </w:t>
      </w:r>
      <w:r w:rsidR="007C344C" w:rsidRPr="00B92503">
        <w:rPr>
          <w:rFonts w:cs="Arial"/>
          <w:szCs w:val="24"/>
        </w:rPr>
        <w:t>predominates in old</w:t>
      </w:r>
      <w:r w:rsidRPr="00B92503">
        <w:rPr>
          <w:rFonts w:cs="Arial"/>
          <w:szCs w:val="24"/>
        </w:rPr>
        <w:t xml:space="preserve"> age.</w:t>
      </w:r>
    </w:p>
    <w:p w:rsidR="00420992" w:rsidRPr="00B92503" w:rsidRDefault="00420992" w:rsidP="00B92503">
      <w:pPr>
        <w:rPr>
          <w:rFonts w:cs="Arial"/>
          <w:szCs w:val="24"/>
        </w:rPr>
      </w:pPr>
    </w:p>
    <w:p w:rsidR="008E4ACD" w:rsidRPr="00B92503" w:rsidRDefault="008E4ACD" w:rsidP="00B92503">
      <w:pPr>
        <w:pStyle w:val="Heading3"/>
        <w:rPr>
          <w:rFonts w:cs="Arial"/>
          <w:b/>
          <w:szCs w:val="24"/>
        </w:rPr>
      </w:pPr>
      <w:r w:rsidRPr="00B92503">
        <w:rPr>
          <w:rFonts w:cs="Arial"/>
          <w:szCs w:val="24"/>
        </w:rPr>
        <w:t>Trend since 2013</w:t>
      </w:r>
    </w:p>
    <w:p w:rsidR="00420992" w:rsidRPr="00B92503" w:rsidRDefault="00420992" w:rsidP="00B92503">
      <w:pPr>
        <w:rPr>
          <w:rFonts w:cs="Arial"/>
          <w:b/>
          <w:szCs w:val="24"/>
        </w:rPr>
      </w:pPr>
    </w:p>
    <w:p w:rsidR="00B61E9A" w:rsidRPr="00B92503" w:rsidRDefault="009B0E99" w:rsidP="00B92503">
      <w:pPr>
        <w:rPr>
          <w:rFonts w:cs="Arial"/>
          <w:szCs w:val="24"/>
        </w:rPr>
      </w:pPr>
      <w:r w:rsidRPr="00B92503">
        <w:rPr>
          <w:rFonts w:cs="Arial"/>
          <w:b/>
          <w:szCs w:val="24"/>
        </w:rPr>
        <w:t xml:space="preserve">Figure </w:t>
      </w:r>
      <w:r w:rsidR="00316CE7" w:rsidRPr="00B92503">
        <w:rPr>
          <w:rFonts w:cs="Arial"/>
          <w:b/>
          <w:szCs w:val="24"/>
        </w:rPr>
        <w:t>1</w:t>
      </w:r>
      <w:r w:rsidR="00BB6B3F" w:rsidRPr="00B92503">
        <w:rPr>
          <w:rFonts w:cs="Arial"/>
          <w:b/>
          <w:szCs w:val="24"/>
        </w:rPr>
        <w:t>3</w:t>
      </w:r>
      <w:r w:rsidR="00FF5146" w:rsidRPr="00B92503">
        <w:rPr>
          <w:rFonts w:cs="Arial"/>
          <w:b/>
          <w:szCs w:val="24"/>
        </w:rPr>
        <w:t>:</w:t>
      </w:r>
      <w:r w:rsidRPr="00B92503">
        <w:rPr>
          <w:rFonts w:cs="Arial"/>
          <w:szCs w:val="24"/>
        </w:rPr>
        <w:t xml:space="preserve"> </w:t>
      </w:r>
      <w:r w:rsidR="00847B02" w:rsidRPr="00B92503">
        <w:rPr>
          <w:rFonts w:cs="Arial"/>
          <w:szCs w:val="24"/>
        </w:rPr>
        <w:t>Budget development</w:t>
      </w:r>
      <w:r w:rsidR="00EF2F84" w:rsidRPr="00B92503">
        <w:rPr>
          <w:rFonts w:cs="Arial"/>
          <w:szCs w:val="24"/>
        </w:rPr>
        <w:t>s</w:t>
      </w:r>
      <w:r w:rsidR="00847B02" w:rsidRPr="00B92503">
        <w:rPr>
          <w:rFonts w:cs="Arial"/>
          <w:szCs w:val="24"/>
        </w:rPr>
        <w:t xml:space="preserve"> 2013-2016 in millions of Euro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34"/>
        <w:gridCol w:w="992"/>
        <w:gridCol w:w="993"/>
        <w:gridCol w:w="992"/>
        <w:gridCol w:w="2126"/>
      </w:tblGrid>
      <w:tr w:rsidR="001D0450" w:rsidRPr="00B92503" w:rsidTr="00553120">
        <w:tc>
          <w:tcPr>
            <w:tcW w:w="2972" w:type="dxa"/>
            <w:shd w:val="clear" w:color="auto" w:fill="DAEEF3"/>
          </w:tcPr>
          <w:p w:rsidR="00847B02" w:rsidRPr="00B92503" w:rsidRDefault="00847B02" w:rsidP="00B92503">
            <w:pPr>
              <w:rPr>
                <w:rFonts w:eastAsia="Calibri" w:cs="Arial"/>
                <w:szCs w:val="24"/>
                <w:lang w:val="en-US"/>
              </w:rPr>
            </w:pPr>
            <w:r w:rsidRPr="00B92503">
              <w:rPr>
                <w:rFonts w:eastAsia="Calibri" w:cs="Arial"/>
                <w:szCs w:val="24"/>
                <w:lang w:val="en-US"/>
              </w:rPr>
              <w:t xml:space="preserve">Year </w:t>
            </w:r>
          </w:p>
        </w:tc>
        <w:tc>
          <w:tcPr>
            <w:tcW w:w="1134" w:type="dxa"/>
            <w:shd w:val="clear" w:color="auto" w:fill="DAEEF3"/>
          </w:tcPr>
          <w:p w:rsidR="00847B02" w:rsidRPr="00B92503" w:rsidRDefault="00847B02" w:rsidP="00B92503">
            <w:pPr>
              <w:jc w:val="center"/>
              <w:rPr>
                <w:rFonts w:eastAsia="Calibri" w:cs="Arial"/>
                <w:szCs w:val="24"/>
                <w:lang w:val="fr-CH"/>
              </w:rPr>
            </w:pPr>
            <w:r w:rsidRPr="00B92503">
              <w:rPr>
                <w:rFonts w:eastAsia="Calibri" w:cs="Arial"/>
                <w:szCs w:val="24"/>
                <w:lang w:val="fr-CH"/>
              </w:rPr>
              <w:t>2013</w:t>
            </w:r>
          </w:p>
        </w:tc>
        <w:tc>
          <w:tcPr>
            <w:tcW w:w="992" w:type="dxa"/>
            <w:shd w:val="clear" w:color="auto" w:fill="DAEEF3"/>
          </w:tcPr>
          <w:p w:rsidR="00847B02" w:rsidRPr="00B92503" w:rsidRDefault="00847B02" w:rsidP="00B92503">
            <w:pPr>
              <w:jc w:val="center"/>
              <w:rPr>
                <w:rFonts w:eastAsia="Calibri" w:cs="Arial"/>
                <w:szCs w:val="24"/>
                <w:lang w:val="fr-CH"/>
              </w:rPr>
            </w:pPr>
            <w:r w:rsidRPr="00B92503">
              <w:rPr>
                <w:rFonts w:eastAsia="Calibri" w:cs="Arial"/>
                <w:szCs w:val="24"/>
                <w:lang w:val="fr-CH"/>
              </w:rPr>
              <w:t>2014</w:t>
            </w:r>
          </w:p>
        </w:tc>
        <w:tc>
          <w:tcPr>
            <w:tcW w:w="993" w:type="dxa"/>
            <w:shd w:val="clear" w:color="auto" w:fill="DAEEF3"/>
          </w:tcPr>
          <w:p w:rsidR="00847B02" w:rsidRPr="00B92503" w:rsidRDefault="00847B02" w:rsidP="00B92503">
            <w:pPr>
              <w:jc w:val="center"/>
              <w:rPr>
                <w:rFonts w:eastAsia="Calibri" w:cs="Arial"/>
                <w:szCs w:val="24"/>
                <w:lang w:val="fr-CH"/>
              </w:rPr>
            </w:pPr>
            <w:r w:rsidRPr="00B92503">
              <w:rPr>
                <w:rFonts w:eastAsia="Calibri" w:cs="Arial"/>
                <w:szCs w:val="24"/>
                <w:lang w:val="fr-CH"/>
              </w:rPr>
              <w:t>2015</w:t>
            </w:r>
          </w:p>
        </w:tc>
        <w:tc>
          <w:tcPr>
            <w:tcW w:w="992" w:type="dxa"/>
            <w:shd w:val="clear" w:color="auto" w:fill="DAEEF3"/>
          </w:tcPr>
          <w:p w:rsidR="00847B02" w:rsidRPr="00B92503" w:rsidRDefault="00847B02" w:rsidP="00B92503">
            <w:pPr>
              <w:jc w:val="center"/>
              <w:rPr>
                <w:rFonts w:eastAsia="Calibri" w:cs="Arial"/>
                <w:szCs w:val="24"/>
                <w:lang w:val="fr-CH"/>
              </w:rPr>
            </w:pPr>
            <w:r w:rsidRPr="00B92503">
              <w:rPr>
                <w:rFonts w:eastAsia="Calibri" w:cs="Arial"/>
                <w:szCs w:val="24"/>
                <w:lang w:val="fr-CH"/>
              </w:rPr>
              <w:t>2016</w:t>
            </w:r>
          </w:p>
        </w:tc>
        <w:tc>
          <w:tcPr>
            <w:tcW w:w="2126" w:type="dxa"/>
            <w:shd w:val="clear" w:color="auto" w:fill="DAEEF3"/>
          </w:tcPr>
          <w:p w:rsidR="00847B02" w:rsidRPr="00B92503" w:rsidRDefault="00256857" w:rsidP="00B92503">
            <w:pPr>
              <w:jc w:val="center"/>
              <w:rPr>
                <w:rFonts w:eastAsia="Calibri" w:cs="Arial"/>
                <w:szCs w:val="24"/>
                <w:lang w:val="fr-CH"/>
              </w:rPr>
            </w:pPr>
            <w:r>
              <w:rPr>
                <w:rFonts w:eastAsia="Calibri" w:cs="Arial"/>
                <w:szCs w:val="24"/>
                <w:lang w:val="fr-CH"/>
              </w:rPr>
              <w:t>T</w:t>
            </w:r>
            <w:r w:rsidR="00847B02" w:rsidRPr="00B92503">
              <w:rPr>
                <w:rFonts w:eastAsia="Calibri" w:cs="Arial"/>
                <w:szCs w:val="24"/>
                <w:lang w:val="fr-CH"/>
              </w:rPr>
              <w:t>rend</w:t>
            </w:r>
            <w:r w:rsidR="009133AF" w:rsidRPr="00B92503">
              <w:rPr>
                <w:rFonts w:eastAsia="Calibri" w:cs="Arial"/>
                <w:szCs w:val="24"/>
                <w:lang w:val="fr-CH"/>
              </w:rPr>
              <w:t>s</w:t>
            </w:r>
            <w:r w:rsidR="00847B02" w:rsidRPr="00B92503">
              <w:rPr>
                <w:rFonts w:eastAsia="Calibri" w:cs="Arial"/>
                <w:szCs w:val="24"/>
                <w:lang w:val="fr-CH"/>
              </w:rPr>
              <w:t xml:space="preserve"> </w:t>
            </w:r>
            <w:proofErr w:type="spellStart"/>
            <w:r w:rsidR="00847B02" w:rsidRPr="00B92503">
              <w:rPr>
                <w:rFonts w:eastAsia="Calibri" w:cs="Arial"/>
                <w:szCs w:val="24"/>
                <w:lang w:val="fr-CH"/>
              </w:rPr>
              <w:t>since</w:t>
            </w:r>
            <w:proofErr w:type="spellEnd"/>
            <w:r w:rsidR="00847B02" w:rsidRPr="00B92503">
              <w:rPr>
                <w:rFonts w:eastAsia="Calibri" w:cs="Arial"/>
                <w:szCs w:val="24"/>
                <w:lang w:val="fr-CH"/>
              </w:rPr>
              <w:t xml:space="preserve"> 2013</w:t>
            </w:r>
          </w:p>
        </w:tc>
      </w:tr>
      <w:tr w:rsidR="001D0450" w:rsidRPr="00B92503" w:rsidTr="00553120">
        <w:tc>
          <w:tcPr>
            <w:tcW w:w="2972" w:type="dxa"/>
            <w:shd w:val="clear" w:color="auto" w:fill="DAEEF3"/>
          </w:tcPr>
          <w:p w:rsidR="00FF5146" w:rsidRPr="00B92503" w:rsidRDefault="00FF5146" w:rsidP="00B92503">
            <w:pPr>
              <w:rPr>
                <w:rFonts w:eastAsia="Calibri" w:cs="Arial"/>
                <w:szCs w:val="24"/>
                <w:lang w:val="fr-CH"/>
              </w:rPr>
            </w:pPr>
            <w:r w:rsidRPr="00B92503">
              <w:rPr>
                <w:rFonts w:eastAsia="Arial" w:cs="Arial"/>
                <w:szCs w:val="24"/>
                <w:lang w:val="fr-CH"/>
              </w:rPr>
              <w:t>Home care</w:t>
            </w:r>
            <w:r w:rsidR="007C4D2B" w:rsidRPr="00B92503">
              <w:rPr>
                <w:rFonts w:eastAsia="Calibri" w:cs="Arial"/>
                <w:szCs w:val="24"/>
                <w:lang w:val="fr-CH"/>
              </w:rPr>
              <w:t xml:space="preserve">    </w:t>
            </w:r>
            <w:proofErr w:type="gramStart"/>
            <w:r w:rsidR="007C4D2B" w:rsidRPr="00B92503">
              <w:rPr>
                <w:rFonts w:eastAsia="Calibri" w:cs="Arial"/>
                <w:szCs w:val="24"/>
                <w:lang w:val="fr-CH"/>
              </w:rPr>
              <w:t xml:space="preserve">  </w:t>
            </w:r>
            <w:r w:rsidR="00F92E05">
              <w:rPr>
                <w:rFonts w:eastAsia="Calibri" w:cs="Arial"/>
                <w:szCs w:val="24"/>
                <w:lang w:val="fr-CH"/>
              </w:rPr>
              <w:t xml:space="preserve"> </w:t>
            </w:r>
            <w:r w:rsidR="007C4D2B" w:rsidRPr="00B92503">
              <w:rPr>
                <w:rFonts w:eastAsia="Arial" w:cs="Arial"/>
                <w:szCs w:val="24"/>
                <w:lang w:val="fr-CH"/>
              </w:rPr>
              <w:t>(</w:t>
            </w:r>
            <w:proofErr w:type="gramEnd"/>
            <w:r w:rsidR="007C4D2B" w:rsidRPr="00B92503">
              <w:rPr>
                <w:rFonts w:eastAsia="Arial" w:cs="Arial"/>
                <w:szCs w:val="24"/>
                <w:lang w:val="fr-CH"/>
              </w:rPr>
              <w:t>million</w:t>
            </w:r>
            <w:r w:rsidR="007C4D2B" w:rsidRPr="00B92503">
              <w:rPr>
                <w:rFonts w:eastAsia="Calibri" w:cs="Arial"/>
                <w:szCs w:val="24"/>
                <w:lang w:val="fr-CH"/>
              </w:rPr>
              <w:t xml:space="preserve"> €)</w:t>
            </w:r>
          </w:p>
        </w:tc>
        <w:tc>
          <w:tcPr>
            <w:tcW w:w="1134" w:type="dxa"/>
            <w:shd w:val="clear" w:color="auto" w:fill="auto"/>
          </w:tcPr>
          <w:p w:rsidR="00FF5146" w:rsidRPr="00B92503" w:rsidRDefault="00FF5146" w:rsidP="00B92503">
            <w:pPr>
              <w:jc w:val="center"/>
              <w:rPr>
                <w:rFonts w:eastAsia="Calibri" w:cs="Arial"/>
                <w:szCs w:val="24"/>
                <w:lang w:val="fr-CH"/>
              </w:rPr>
            </w:pPr>
            <w:r w:rsidRPr="00B92503">
              <w:rPr>
                <w:rFonts w:eastAsia="Calibri" w:cs="Arial"/>
                <w:szCs w:val="24"/>
                <w:lang w:val="fr-CH"/>
              </w:rPr>
              <w:t>208</w:t>
            </w:r>
            <w:r w:rsidR="009133AF" w:rsidRPr="00B92503">
              <w:rPr>
                <w:rFonts w:eastAsia="Calibri" w:cs="Arial"/>
                <w:szCs w:val="24"/>
                <w:lang w:val="fr-CH"/>
              </w:rPr>
              <w:t>.</w:t>
            </w:r>
            <w:r w:rsidRPr="00B92503">
              <w:rPr>
                <w:rFonts w:eastAsia="Calibri" w:cs="Arial"/>
                <w:szCs w:val="24"/>
                <w:lang w:val="fr-CH"/>
              </w:rPr>
              <w:t>5</w:t>
            </w:r>
          </w:p>
        </w:tc>
        <w:tc>
          <w:tcPr>
            <w:tcW w:w="992" w:type="dxa"/>
            <w:shd w:val="clear" w:color="auto" w:fill="auto"/>
          </w:tcPr>
          <w:p w:rsidR="00FF5146" w:rsidRPr="00B92503" w:rsidRDefault="00FF5146" w:rsidP="00B92503">
            <w:pPr>
              <w:jc w:val="center"/>
              <w:rPr>
                <w:rFonts w:eastAsia="Calibri" w:cs="Arial"/>
                <w:szCs w:val="24"/>
                <w:lang w:val="fr-CH"/>
              </w:rPr>
            </w:pPr>
            <w:r w:rsidRPr="00B92503">
              <w:rPr>
                <w:rFonts w:eastAsia="Calibri" w:cs="Arial"/>
                <w:szCs w:val="24"/>
                <w:lang w:val="fr-CH"/>
              </w:rPr>
              <w:t>218</w:t>
            </w:r>
            <w:r w:rsidR="009133AF" w:rsidRPr="00B92503">
              <w:rPr>
                <w:rFonts w:eastAsia="Calibri" w:cs="Arial"/>
                <w:szCs w:val="24"/>
                <w:lang w:val="fr-CH"/>
              </w:rPr>
              <w:t>.</w:t>
            </w:r>
            <w:r w:rsidRPr="00B92503">
              <w:rPr>
                <w:rFonts w:eastAsia="Calibri" w:cs="Arial"/>
                <w:szCs w:val="24"/>
                <w:lang w:val="fr-CH"/>
              </w:rPr>
              <w:t>6</w:t>
            </w:r>
          </w:p>
        </w:tc>
        <w:tc>
          <w:tcPr>
            <w:tcW w:w="993" w:type="dxa"/>
            <w:shd w:val="clear" w:color="auto" w:fill="auto"/>
          </w:tcPr>
          <w:p w:rsidR="00FF5146" w:rsidRPr="00B92503" w:rsidRDefault="00FF5146" w:rsidP="00B92503">
            <w:pPr>
              <w:jc w:val="center"/>
              <w:rPr>
                <w:rFonts w:eastAsia="Calibri" w:cs="Arial"/>
                <w:szCs w:val="24"/>
                <w:lang w:val="fr-CH"/>
              </w:rPr>
            </w:pPr>
            <w:r w:rsidRPr="00B92503">
              <w:rPr>
                <w:rFonts w:eastAsia="Calibri" w:cs="Arial"/>
                <w:szCs w:val="24"/>
                <w:lang w:val="fr-CH"/>
              </w:rPr>
              <w:t>215</w:t>
            </w:r>
            <w:r w:rsidR="009133AF" w:rsidRPr="00B92503">
              <w:rPr>
                <w:rFonts w:eastAsia="Calibri" w:cs="Arial"/>
                <w:szCs w:val="24"/>
                <w:lang w:val="fr-CH"/>
              </w:rPr>
              <w:t>.</w:t>
            </w:r>
            <w:r w:rsidRPr="00B92503">
              <w:rPr>
                <w:rFonts w:eastAsia="Calibri" w:cs="Arial"/>
                <w:szCs w:val="24"/>
                <w:lang w:val="fr-CH"/>
              </w:rPr>
              <w:t>1</w:t>
            </w:r>
          </w:p>
        </w:tc>
        <w:tc>
          <w:tcPr>
            <w:tcW w:w="992" w:type="dxa"/>
            <w:shd w:val="clear" w:color="auto" w:fill="auto"/>
          </w:tcPr>
          <w:p w:rsidR="00FF5146" w:rsidRPr="00B92503" w:rsidRDefault="00FF5146" w:rsidP="00B92503">
            <w:pPr>
              <w:jc w:val="center"/>
              <w:rPr>
                <w:rFonts w:eastAsia="Calibri" w:cs="Arial"/>
                <w:szCs w:val="24"/>
                <w:lang w:val="fr-CH"/>
              </w:rPr>
            </w:pPr>
            <w:r w:rsidRPr="00B92503">
              <w:rPr>
                <w:rFonts w:eastAsia="Calibri" w:cs="Arial"/>
                <w:szCs w:val="24"/>
                <w:lang w:val="fr-CH"/>
              </w:rPr>
              <w:t>211</w:t>
            </w:r>
            <w:r w:rsidR="009133AF" w:rsidRPr="00B92503">
              <w:rPr>
                <w:rFonts w:eastAsia="Calibri" w:cs="Arial"/>
                <w:szCs w:val="24"/>
                <w:lang w:val="fr-CH"/>
              </w:rPr>
              <w:t>.</w:t>
            </w:r>
            <w:r w:rsidRPr="00B92503">
              <w:rPr>
                <w:rFonts w:eastAsia="Calibri" w:cs="Arial"/>
                <w:szCs w:val="24"/>
                <w:lang w:val="fr-CH"/>
              </w:rPr>
              <w:t>0</w:t>
            </w:r>
          </w:p>
        </w:tc>
        <w:tc>
          <w:tcPr>
            <w:tcW w:w="2126" w:type="dxa"/>
            <w:shd w:val="clear" w:color="auto" w:fill="auto"/>
            <w:vAlign w:val="bottom"/>
          </w:tcPr>
          <w:p w:rsidR="00FF5146" w:rsidRPr="00B92503" w:rsidRDefault="00FF5146" w:rsidP="00B92503">
            <w:pPr>
              <w:jc w:val="center"/>
              <w:rPr>
                <w:rFonts w:eastAsia="Calibri" w:cs="Arial"/>
                <w:szCs w:val="24"/>
                <w:lang w:val="fr-CH"/>
              </w:rPr>
            </w:pPr>
            <w:r w:rsidRPr="00B92503">
              <w:rPr>
                <w:rFonts w:eastAsia="Calibri" w:cs="Arial"/>
                <w:color w:val="000000"/>
                <w:szCs w:val="24"/>
              </w:rPr>
              <w:t>+ 1</w:t>
            </w:r>
            <w:r w:rsidR="009133AF" w:rsidRPr="00B92503">
              <w:rPr>
                <w:rFonts w:eastAsia="Calibri" w:cs="Arial"/>
                <w:color w:val="000000"/>
                <w:szCs w:val="24"/>
              </w:rPr>
              <w:t>.</w:t>
            </w:r>
            <w:r w:rsidRPr="00B92503">
              <w:rPr>
                <w:rFonts w:eastAsia="Calibri" w:cs="Arial"/>
                <w:color w:val="000000"/>
                <w:szCs w:val="24"/>
              </w:rPr>
              <w:t>2</w:t>
            </w:r>
            <w:r w:rsidR="00F92E05">
              <w:rPr>
                <w:rFonts w:eastAsia="Calibri" w:cs="Arial"/>
                <w:color w:val="000000"/>
                <w:szCs w:val="24"/>
              </w:rPr>
              <w:t xml:space="preserve"> </w:t>
            </w:r>
            <w:r w:rsidRPr="00B92503">
              <w:rPr>
                <w:rFonts w:eastAsia="Calibri" w:cs="Arial"/>
                <w:color w:val="000000"/>
                <w:szCs w:val="24"/>
              </w:rPr>
              <w:t>%</w:t>
            </w:r>
          </w:p>
        </w:tc>
      </w:tr>
      <w:tr w:rsidR="001D0450" w:rsidRPr="00B92503" w:rsidTr="00553120">
        <w:tc>
          <w:tcPr>
            <w:tcW w:w="2972" w:type="dxa"/>
            <w:shd w:val="clear" w:color="auto" w:fill="DAEEF3"/>
          </w:tcPr>
          <w:p w:rsidR="00FF5146" w:rsidRPr="00B92503" w:rsidRDefault="00FF5146" w:rsidP="00B92503">
            <w:pPr>
              <w:rPr>
                <w:rFonts w:eastAsia="Calibri" w:cs="Arial"/>
                <w:szCs w:val="24"/>
                <w:lang w:val="fr-CH"/>
              </w:rPr>
            </w:pPr>
            <w:proofErr w:type="spellStart"/>
            <w:r w:rsidRPr="00B92503">
              <w:rPr>
                <w:rFonts w:eastAsia="Arial" w:cs="Arial"/>
                <w:szCs w:val="24"/>
                <w:lang w:val="fr-CH"/>
              </w:rPr>
              <w:t>Stationary</w:t>
            </w:r>
            <w:proofErr w:type="spellEnd"/>
            <w:r w:rsidRPr="00B92503">
              <w:rPr>
                <w:rFonts w:eastAsia="Arial" w:cs="Arial"/>
                <w:szCs w:val="24"/>
                <w:lang w:val="fr-CH"/>
              </w:rPr>
              <w:t xml:space="preserve"> care</w:t>
            </w:r>
            <w:r w:rsidRPr="00B92503">
              <w:rPr>
                <w:rFonts w:eastAsia="Calibri" w:cs="Arial"/>
                <w:szCs w:val="24"/>
                <w:lang w:val="fr-CH"/>
              </w:rPr>
              <w:t xml:space="preserve"> </w:t>
            </w:r>
            <w:r w:rsidR="007C4D2B" w:rsidRPr="00B92503">
              <w:rPr>
                <w:rFonts w:eastAsia="Arial" w:cs="Arial"/>
                <w:szCs w:val="24"/>
                <w:lang w:val="fr-CH"/>
              </w:rPr>
              <w:t>(million</w:t>
            </w:r>
            <w:r w:rsidR="007C4D2B" w:rsidRPr="00B92503">
              <w:rPr>
                <w:rFonts w:eastAsia="Calibri" w:cs="Arial"/>
                <w:szCs w:val="24"/>
                <w:lang w:val="fr-CH"/>
              </w:rPr>
              <w:t xml:space="preserve"> €)</w:t>
            </w:r>
          </w:p>
        </w:tc>
        <w:tc>
          <w:tcPr>
            <w:tcW w:w="1134" w:type="dxa"/>
            <w:shd w:val="clear" w:color="auto" w:fill="auto"/>
          </w:tcPr>
          <w:p w:rsidR="00FF5146" w:rsidRPr="00B92503" w:rsidRDefault="00FF5146" w:rsidP="00B92503">
            <w:pPr>
              <w:jc w:val="center"/>
              <w:rPr>
                <w:rFonts w:eastAsia="Calibri" w:cs="Arial"/>
                <w:szCs w:val="24"/>
                <w:lang w:val="fr-CH"/>
              </w:rPr>
            </w:pPr>
            <w:r w:rsidRPr="00B92503">
              <w:rPr>
                <w:rFonts w:eastAsia="Calibri" w:cs="Arial"/>
                <w:szCs w:val="24"/>
                <w:lang w:val="fr-CH"/>
              </w:rPr>
              <w:t>299</w:t>
            </w:r>
            <w:r w:rsidR="009133AF" w:rsidRPr="00B92503">
              <w:rPr>
                <w:rFonts w:eastAsia="Calibri" w:cs="Arial"/>
                <w:szCs w:val="24"/>
                <w:lang w:val="fr-CH"/>
              </w:rPr>
              <w:t>.</w:t>
            </w:r>
            <w:r w:rsidRPr="00B92503">
              <w:rPr>
                <w:rFonts w:eastAsia="Calibri" w:cs="Arial"/>
                <w:szCs w:val="24"/>
                <w:lang w:val="fr-CH"/>
              </w:rPr>
              <w:t>6</w:t>
            </w:r>
          </w:p>
        </w:tc>
        <w:tc>
          <w:tcPr>
            <w:tcW w:w="992" w:type="dxa"/>
            <w:shd w:val="clear" w:color="auto" w:fill="auto"/>
          </w:tcPr>
          <w:p w:rsidR="00FF5146" w:rsidRPr="00B92503" w:rsidRDefault="00FF5146" w:rsidP="00B92503">
            <w:pPr>
              <w:jc w:val="center"/>
              <w:rPr>
                <w:rFonts w:eastAsia="Calibri" w:cs="Arial"/>
                <w:szCs w:val="24"/>
                <w:lang w:val="fr-CH"/>
              </w:rPr>
            </w:pPr>
            <w:r w:rsidRPr="00B92503">
              <w:rPr>
                <w:rFonts w:eastAsia="Calibri" w:cs="Arial"/>
                <w:szCs w:val="24"/>
                <w:lang w:val="fr-CH"/>
              </w:rPr>
              <w:t>321</w:t>
            </w:r>
            <w:r w:rsidR="009133AF" w:rsidRPr="00B92503">
              <w:rPr>
                <w:rFonts w:eastAsia="Calibri" w:cs="Arial"/>
                <w:szCs w:val="24"/>
                <w:lang w:val="fr-CH"/>
              </w:rPr>
              <w:t>.</w:t>
            </w:r>
            <w:r w:rsidRPr="00B92503">
              <w:rPr>
                <w:rFonts w:eastAsia="Calibri" w:cs="Arial"/>
                <w:szCs w:val="24"/>
                <w:lang w:val="fr-CH"/>
              </w:rPr>
              <w:t>5</w:t>
            </w:r>
          </w:p>
        </w:tc>
        <w:tc>
          <w:tcPr>
            <w:tcW w:w="993" w:type="dxa"/>
            <w:shd w:val="clear" w:color="auto" w:fill="auto"/>
          </w:tcPr>
          <w:p w:rsidR="00FF5146" w:rsidRPr="00B92503" w:rsidRDefault="00FF5146" w:rsidP="00B92503">
            <w:pPr>
              <w:jc w:val="center"/>
              <w:rPr>
                <w:rFonts w:eastAsia="Calibri" w:cs="Arial"/>
                <w:szCs w:val="24"/>
                <w:lang w:val="fr-CH"/>
              </w:rPr>
            </w:pPr>
            <w:r w:rsidRPr="00B92503">
              <w:rPr>
                <w:rFonts w:eastAsia="Calibri" w:cs="Arial"/>
                <w:szCs w:val="24"/>
                <w:lang w:val="fr-CH"/>
              </w:rPr>
              <w:t>326</w:t>
            </w:r>
            <w:r w:rsidR="009133AF" w:rsidRPr="00B92503">
              <w:rPr>
                <w:rFonts w:eastAsia="Calibri" w:cs="Arial"/>
                <w:szCs w:val="24"/>
                <w:lang w:val="fr-CH"/>
              </w:rPr>
              <w:t>.</w:t>
            </w:r>
            <w:r w:rsidRPr="00B92503">
              <w:rPr>
                <w:rFonts w:eastAsia="Calibri" w:cs="Arial"/>
                <w:szCs w:val="24"/>
                <w:lang w:val="fr-CH"/>
              </w:rPr>
              <w:t>9</w:t>
            </w:r>
          </w:p>
        </w:tc>
        <w:tc>
          <w:tcPr>
            <w:tcW w:w="992" w:type="dxa"/>
            <w:shd w:val="clear" w:color="auto" w:fill="auto"/>
          </w:tcPr>
          <w:p w:rsidR="00FF5146" w:rsidRPr="00B92503" w:rsidRDefault="00FF5146" w:rsidP="00B92503">
            <w:pPr>
              <w:jc w:val="center"/>
              <w:rPr>
                <w:rFonts w:eastAsia="Calibri" w:cs="Arial"/>
                <w:szCs w:val="24"/>
                <w:lang w:val="fr-CH"/>
              </w:rPr>
            </w:pPr>
            <w:r w:rsidRPr="00B92503">
              <w:rPr>
                <w:rFonts w:eastAsia="Calibri" w:cs="Arial"/>
                <w:szCs w:val="24"/>
                <w:lang w:val="fr-CH"/>
              </w:rPr>
              <w:t>308</w:t>
            </w:r>
            <w:r w:rsidR="009133AF" w:rsidRPr="00B92503">
              <w:rPr>
                <w:rFonts w:eastAsia="Calibri" w:cs="Arial"/>
                <w:szCs w:val="24"/>
                <w:lang w:val="fr-CH"/>
              </w:rPr>
              <w:t>.</w:t>
            </w:r>
            <w:r w:rsidRPr="00B92503">
              <w:rPr>
                <w:rFonts w:eastAsia="Calibri" w:cs="Arial"/>
                <w:szCs w:val="24"/>
                <w:lang w:val="fr-CH"/>
              </w:rPr>
              <w:t>4</w:t>
            </w:r>
          </w:p>
        </w:tc>
        <w:tc>
          <w:tcPr>
            <w:tcW w:w="2126" w:type="dxa"/>
            <w:shd w:val="clear" w:color="auto" w:fill="auto"/>
            <w:vAlign w:val="bottom"/>
          </w:tcPr>
          <w:p w:rsidR="00FF5146" w:rsidRPr="00B92503" w:rsidRDefault="00FF5146" w:rsidP="00B92503">
            <w:pPr>
              <w:jc w:val="center"/>
              <w:rPr>
                <w:rFonts w:eastAsia="Calibri" w:cs="Arial"/>
                <w:szCs w:val="24"/>
                <w:lang w:val="fr-CH"/>
              </w:rPr>
            </w:pPr>
            <w:r w:rsidRPr="00B92503">
              <w:rPr>
                <w:rFonts w:eastAsia="Calibri" w:cs="Arial"/>
                <w:color w:val="000000"/>
                <w:szCs w:val="24"/>
              </w:rPr>
              <w:t>+ 2</w:t>
            </w:r>
            <w:r w:rsidR="009133AF" w:rsidRPr="00B92503">
              <w:rPr>
                <w:rFonts w:eastAsia="Calibri" w:cs="Arial"/>
                <w:color w:val="000000"/>
                <w:szCs w:val="24"/>
              </w:rPr>
              <w:t>.</w:t>
            </w:r>
            <w:r w:rsidRPr="00B92503">
              <w:rPr>
                <w:rFonts w:eastAsia="Calibri" w:cs="Arial"/>
                <w:color w:val="000000"/>
                <w:szCs w:val="24"/>
              </w:rPr>
              <w:t>9</w:t>
            </w:r>
            <w:r w:rsidR="00F92E05">
              <w:rPr>
                <w:rFonts w:eastAsia="Calibri" w:cs="Arial"/>
                <w:color w:val="000000"/>
                <w:szCs w:val="24"/>
              </w:rPr>
              <w:t xml:space="preserve"> </w:t>
            </w:r>
            <w:r w:rsidRPr="00B92503">
              <w:rPr>
                <w:rFonts w:eastAsia="Calibri" w:cs="Arial"/>
                <w:color w:val="000000"/>
                <w:szCs w:val="24"/>
              </w:rPr>
              <w:t>%</w:t>
            </w:r>
          </w:p>
        </w:tc>
      </w:tr>
    </w:tbl>
    <w:p w:rsidR="00195853" w:rsidRPr="00B92503" w:rsidRDefault="00847B02" w:rsidP="00B92503">
      <w:pPr>
        <w:rPr>
          <w:rFonts w:cs="Arial"/>
          <w:szCs w:val="24"/>
        </w:rPr>
      </w:pPr>
      <w:r w:rsidRPr="00B92503">
        <w:rPr>
          <w:rFonts w:cs="Arial"/>
          <w:szCs w:val="24"/>
        </w:rPr>
        <w:t>Source: rapport social security 2017, p.</w:t>
      </w:r>
      <w:r w:rsidR="00553120">
        <w:rPr>
          <w:rFonts w:cs="Arial"/>
          <w:szCs w:val="24"/>
        </w:rPr>
        <w:t xml:space="preserve"> </w:t>
      </w:r>
      <w:r w:rsidRPr="00B92503">
        <w:rPr>
          <w:rFonts w:cs="Arial"/>
          <w:szCs w:val="24"/>
          <w:lang w:bidi="en-US"/>
        </w:rPr>
        <w:t>132</w:t>
      </w:r>
      <w:r w:rsidRPr="00B92503">
        <w:rPr>
          <w:rStyle w:val="FootnoteReference"/>
          <w:rFonts w:cs="Arial"/>
          <w:sz w:val="24"/>
          <w:szCs w:val="24"/>
          <w:lang w:bidi="en-US"/>
        </w:rPr>
        <w:footnoteReference w:id="41"/>
      </w:r>
    </w:p>
    <w:p w:rsidR="00195853" w:rsidRPr="00B92503" w:rsidRDefault="00195853" w:rsidP="00B92503">
      <w:pPr>
        <w:rPr>
          <w:rFonts w:cs="Arial"/>
          <w:szCs w:val="24"/>
        </w:rPr>
      </w:pPr>
    </w:p>
    <w:p w:rsidR="00195853" w:rsidRPr="00B92503" w:rsidRDefault="00FF5146" w:rsidP="00B92503">
      <w:pPr>
        <w:rPr>
          <w:rFonts w:cs="Arial"/>
          <w:szCs w:val="24"/>
        </w:rPr>
      </w:pPr>
      <w:r w:rsidRPr="00B92503">
        <w:rPr>
          <w:rFonts w:cs="Arial"/>
          <w:szCs w:val="24"/>
        </w:rPr>
        <w:t>As the table illustrates, the budget for stationary services grew more strongly than the budget for domestic services during the observation period (2013-2016).</w:t>
      </w:r>
    </w:p>
    <w:p w:rsidR="00195853" w:rsidRPr="00B92503" w:rsidRDefault="00195853" w:rsidP="00B92503">
      <w:pPr>
        <w:rPr>
          <w:rFonts w:cs="Arial"/>
          <w:szCs w:val="24"/>
        </w:rPr>
      </w:pPr>
    </w:p>
    <w:p w:rsidR="008E4ACD" w:rsidRPr="00B92503" w:rsidRDefault="00ED6A9A" w:rsidP="00B92503">
      <w:pPr>
        <w:pStyle w:val="Heading1"/>
        <w:rPr>
          <w:rFonts w:cs="Arial"/>
          <w:szCs w:val="24"/>
        </w:rPr>
      </w:pPr>
      <w:bookmarkStart w:id="17" w:name="_TOC_250027"/>
      <w:bookmarkStart w:id="18" w:name="_Toc529874059"/>
      <w:bookmarkStart w:id="19" w:name="_Toc7612955"/>
      <w:r w:rsidRPr="00B92503">
        <w:rPr>
          <w:rFonts w:cs="Arial"/>
          <w:szCs w:val="24"/>
        </w:rPr>
        <w:t xml:space="preserve">Government </w:t>
      </w:r>
      <w:r w:rsidR="00AB2CB2" w:rsidRPr="00B92503">
        <w:rPr>
          <w:rFonts w:cs="Arial"/>
          <w:szCs w:val="24"/>
        </w:rPr>
        <w:t>c</w:t>
      </w:r>
      <w:r w:rsidR="008E4ACD" w:rsidRPr="00B92503">
        <w:rPr>
          <w:rFonts w:cs="Arial"/>
          <w:szCs w:val="24"/>
        </w:rPr>
        <w:t xml:space="preserve">ommitments on </w:t>
      </w:r>
      <w:r w:rsidR="009B0AEB" w:rsidRPr="00B92503">
        <w:rPr>
          <w:rFonts w:cs="Arial"/>
          <w:szCs w:val="24"/>
        </w:rPr>
        <w:t xml:space="preserve">living independently and being included in the community including </w:t>
      </w:r>
      <w:r w:rsidR="008E4ACD" w:rsidRPr="00B92503">
        <w:rPr>
          <w:rFonts w:cs="Arial"/>
          <w:szCs w:val="24"/>
        </w:rPr>
        <w:t xml:space="preserve">the transition from institutional care to </w:t>
      </w:r>
      <w:r w:rsidR="00A75929" w:rsidRPr="00B92503">
        <w:rPr>
          <w:rFonts w:cs="Arial"/>
          <w:szCs w:val="24"/>
        </w:rPr>
        <w:t>community-based</w:t>
      </w:r>
      <w:r w:rsidR="008E4ACD" w:rsidRPr="00B92503">
        <w:rPr>
          <w:rFonts w:cs="Arial"/>
          <w:szCs w:val="24"/>
        </w:rPr>
        <w:t xml:space="preserve"> </w:t>
      </w:r>
      <w:bookmarkEnd w:id="17"/>
      <w:r w:rsidR="008E4ACD" w:rsidRPr="00B92503">
        <w:rPr>
          <w:rFonts w:cs="Arial"/>
          <w:szCs w:val="24"/>
        </w:rPr>
        <w:t>living</w:t>
      </w:r>
      <w:bookmarkEnd w:id="18"/>
      <w:bookmarkEnd w:id="19"/>
      <w:r w:rsidR="008E4ACD" w:rsidRPr="00B92503">
        <w:rPr>
          <w:rFonts w:cs="Arial"/>
          <w:szCs w:val="24"/>
        </w:rPr>
        <w:t xml:space="preserve"> </w:t>
      </w:r>
    </w:p>
    <w:p w:rsidR="00420992" w:rsidRPr="00B92503" w:rsidRDefault="00420992" w:rsidP="00B92503">
      <w:pPr>
        <w:rPr>
          <w:rFonts w:cs="Arial"/>
          <w:szCs w:val="24"/>
        </w:rPr>
      </w:pPr>
    </w:p>
    <w:p w:rsidR="009C1B7A" w:rsidRPr="00B92503" w:rsidRDefault="009C1B7A" w:rsidP="00B92503">
      <w:pPr>
        <w:rPr>
          <w:rFonts w:cs="Arial"/>
          <w:szCs w:val="24"/>
          <w:lang w:bidi="en-US"/>
        </w:rPr>
      </w:pPr>
      <w:r w:rsidRPr="00B92503">
        <w:rPr>
          <w:rFonts w:cs="Arial"/>
          <w:szCs w:val="24"/>
        </w:rPr>
        <w:t>The ministerial programme of action to improve the living conditions of people with disabilities (</w:t>
      </w:r>
      <w:r w:rsidRPr="00B92503">
        <w:rPr>
          <w:rFonts w:cs="Arial"/>
          <w:i/>
          <w:szCs w:val="24"/>
        </w:rPr>
        <w:t xml:space="preserve">Plan </w:t>
      </w:r>
      <w:proofErr w:type="spellStart"/>
      <w:r w:rsidRPr="00B92503">
        <w:rPr>
          <w:rFonts w:cs="Arial"/>
          <w:i/>
          <w:szCs w:val="24"/>
        </w:rPr>
        <w:t>d'action</w:t>
      </w:r>
      <w:proofErr w:type="spellEnd"/>
      <w:r w:rsidRPr="00B92503">
        <w:rPr>
          <w:rFonts w:cs="Arial"/>
          <w:i/>
          <w:szCs w:val="24"/>
        </w:rPr>
        <w:t xml:space="preserve"> </w:t>
      </w:r>
      <w:proofErr w:type="spellStart"/>
      <w:r w:rsidRPr="00B92503">
        <w:rPr>
          <w:rFonts w:cs="Arial"/>
          <w:i/>
          <w:szCs w:val="24"/>
        </w:rPr>
        <w:t>en</w:t>
      </w:r>
      <w:proofErr w:type="spellEnd"/>
      <w:r w:rsidRPr="00B92503">
        <w:rPr>
          <w:rFonts w:cs="Arial"/>
          <w:i/>
          <w:szCs w:val="24"/>
        </w:rPr>
        <w:t xml:space="preserve"> </w:t>
      </w:r>
      <w:proofErr w:type="spellStart"/>
      <w:r w:rsidRPr="00B92503">
        <w:rPr>
          <w:rFonts w:cs="Arial"/>
          <w:i/>
          <w:szCs w:val="24"/>
        </w:rPr>
        <w:t>faveur</w:t>
      </w:r>
      <w:proofErr w:type="spellEnd"/>
      <w:r w:rsidRPr="00B92503">
        <w:rPr>
          <w:rFonts w:cs="Arial"/>
          <w:i/>
          <w:szCs w:val="24"/>
        </w:rPr>
        <w:t xml:space="preserve"> des </w:t>
      </w:r>
      <w:proofErr w:type="spellStart"/>
      <w:r w:rsidRPr="00B92503">
        <w:rPr>
          <w:rFonts w:cs="Arial"/>
          <w:i/>
          <w:szCs w:val="24"/>
        </w:rPr>
        <w:t>personnes</w:t>
      </w:r>
      <w:proofErr w:type="spellEnd"/>
      <w:r w:rsidRPr="00B92503">
        <w:rPr>
          <w:rFonts w:cs="Arial"/>
          <w:i/>
          <w:szCs w:val="24"/>
        </w:rPr>
        <w:t xml:space="preserve"> </w:t>
      </w:r>
      <w:proofErr w:type="spellStart"/>
      <w:r w:rsidRPr="00B92503">
        <w:rPr>
          <w:rFonts w:cs="Arial"/>
          <w:i/>
          <w:szCs w:val="24"/>
        </w:rPr>
        <w:t>handicapées</w:t>
      </w:r>
      <w:proofErr w:type="spellEnd"/>
      <w:r w:rsidRPr="00B92503">
        <w:rPr>
          <w:rFonts w:cs="Arial"/>
          <w:szCs w:val="24"/>
        </w:rPr>
        <w:t xml:space="preserve"> 1997)</w:t>
      </w:r>
      <w:r w:rsidRPr="00B92503">
        <w:rPr>
          <w:rStyle w:val="FootnoteReference"/>
          <w:rFonts w:cs="Arial"/>
          <w:sz w:val="24"/>
          <w:szCs w:val="24"/>
          <w:lang w:bidi="en-US"/>
        </w:rPr>
        <w:footnoteReference w:id="42"/>
      </w:r>
      <w:r w:rsidRPr="00B92503">
        <w:rPr>
          <w:rFonts w:cs="Arial"/>
          <w:szCs w:val="24"/>
        </w:rPr>
        <w:t xml:space="preserve"> for the first time covered all existing regulations and pointed out the need for action.</w:t>
      </w:r>
      <w:r w:rsidRPr="00B92503">
        <w:rPr>
          <w:rFonts w:cs="Arial"/>
          <w:szCs w:val="24"/>
          <w:lang w:bidi="en-US"/>
        </w:rPr>
        <w:t xml:space="preserve"> </w:t>
      </w:r>
    </w:p>
    <w:p w:rsidR="00420992" w:rsidRPr="00B92503" w:rsidRDefault="00420992" w:rsidP="00B92503">
      <w:pPr>
        <w:rPr>
          <w:rFonts w:cs="Arial"/>
          <w:szCs w:val="24"/>
        </w:rPr>
      </w:pPr>
    </w:p>
    <w:p w:rsidR="009C1B7A" w:rsidRPr="00B92503" w:rsidRDefault="009C1B7A" w:rsidP="00B92503">
      <w:pPr>
        <w:rPr>
          <w:rFonts w:cs="Arial"/>
          <w:szCs w:val="24"/>
          <w:lang w:bidi="en-US"/>
        </w:rPr>
      </w:pPr>
      <w:r w:rsidRPr="00B92503">
        <w:rPr>
          <w:rFonts w:cs="Arial"/>
          <w:szCs w:val="24"/>
        </w:rPr>
        <w:t>The establishment of long-term care insurance with a performance-related billing orientation in 1999 required a detailed recording of the need for support and the expenses made available. The focus here was on ensuring financing in line with demand. In 2001, the law on the accessibility of public buildings and infrastructures laid the foundation for the expansion of accessibility in Luxembourg.</w:t>
      </w:r>
    </w:p>
    <w:p w:rsidR="00420992" w:rsidRPr="00B92503" w:rsidRDefault="00420992" w:rsidP="00B92503">
      <w:pPr>
        <w:rPr>
          <w:rFonts w:cs="Arial"/>
          <w:szCs w:val="24"/>
        </w:rPr>
      </w:pPr>
    </w:p>
    <w:p w:rsidR="00636AE1" w:rsidRPr="00B92503" w:rsidRDefault="00636AE1" w:rsidP="00B92503">
      <w:pPr>
        <w:rPr>
          <w:rFonts w:cs="Arial"/>
          <w:szCs w:val="24"/>
        </w:rPr>
      </w:pPr>
      <w:r w:rsidRPr="00B92503">
        <w:rPr>
          <w:rFonts w:cs="Arial"/>
          <w:szCs w:val="24"/>
        </w:rPr>
        <w:t>In 2003 followed the act on disabled worker (</w:t>
      </w:r>
      <w:proofErr w:type="spellStart"/>
      <w:r w:rsidRPr="00B92503">
        <w:rPr>
          <w:rFonts w:cs="Arial"/>
          <w:i/>
          <w:szCs w:val="24"/>
        </w:rPr>
        <w:t>travailleur</w:t>
      </w:r>
      <w:proofErr w:type="spellEnd"/>
      <w:r w:rsidRPr="00B92503">
        <w:rPr>
          <w:rFonts w:cs="Arial"/>
          <w:i/>
          <w:szCs w:val="24"/>
        </w:rPr>
        <w:t xml:space="preserve"> </w:t>
      </w:r>
      <w:proofErr w:type="spellStart"/>
      <w:r w:rsidRPr="00B92503">
        <w:rPr>
          <w:rFonts w:cs="Arial"/>
          <w:i/>
          <w:szCs w:val="24"/>
        </w:rPr>
        <w:t>handicap</w:t>
      </w:r>
      <w:r w:rsidR="00F71523" w:rsidRPr="00B92503">
        <w:rPr>
          <w:rFonts w:cs="Arial"/>
          <w:i/>
          <w:szCs w:val="24"/>
        </w:rPr>
        <w:t>é</w:t>
      </w:r>
      <w:proofErr w:type="spellEnd"/>
      <w:r w:rsidRPr="00B92503">
        <w:rPr>
          <w:rFonts w:cs="Arial"/>
          <w:szCs w:val="24"/>
        </w:rPr>
        <w:t>) and in 2011 Luxembourg ratifies the CRPD.</w:t>
      </w:r>
    </w:p>
    <w:p w:rsidR="00420992" w:rsidRPr="00B92503" w:rsidRDefault="00420992" w:rsidP="00B92503">
      <w:pPr>
        <w:rPr>
          <w:rFonts w:cs="Arial"/>
          <w:szCs w:val="24"/>
        </w:rPr>
      </w:pPr>
    </w:p>
    <w:p w:rsidR="00420992" w:rsidRPr="00B92503" w:rsidRDefault="00636AE1" w:rsidP="00B92503">
      <w:pPr>
        <w:rPr>
          <w:rFonts w:cs="Arial"/>
          <w:szCs w:val="24"/>
        </w:rPr>
      </w:pPr>
      <w:r w:rsidRPr="00B92503">
        <w:rPr>
          <w:rFonts w:cs="Arial"/>
          <w:szCs w:val="24"/>
        </w:rPr>
        <w:t>The legal measures in favour of disabled people in Luxembourg are assigned to different ministries depending on the subject area. The Ministry for Family, Integration and the Greater Region is responsible for coordinating the various measures and, if necessary, initiating new ones. In general, disability policy is based on the interaction of different actors</w:t>
      </w:r>
      <w:r w:rsidR="00F71523" w:rsidRPr="00B92503">
        <w:rPr>
          <w:rFonts w:cs="Arial"/>
          <w:szCs w:val="24"/>
        </w:rPr>
        <w:t xml:space="preserve"> in Luxembourg</w:t>
      </w:r>
      <w:r w:rsidRPr="00B92503">
        <w:rPr>
          <w:rFonts w:cs="Arial"/>
          <w:szCs w:val="24"/>
        </w:rPr>
        <w:t>.</w:t>
      </w:r>
    </w:p>
    <w:p w:rsidR="00636AE1" w:rsidRPr="00553120" w:rsidRDefault="00636AE1" w:rsidP="00553120">
      <w:pPr>
        <w:pStyle w:val="ListParagraph"/>
      </w:pPr>
      <w:r w:rsidRPr="00553120">
        <w:lastRenderedPageBreak/>
        <w:t xml:space="preserve">The </w:t>
      </w:r>
      <w:r w:rsidR="00256857">
        <w:t>S</w:t>
      </w:r>
      <w:r w:rsidRPr="00553120">
        <w:t>tate organises certain areas itself, such as specialised education for pupils with disabilities</w:t>
      </w:r>
      <w:r w:rsidR="00F71523" w:rsidRPr="00553120">
        <w:t>.</w:t>
      </w:r>
      <w:r w:rsidR="00BB6B3F" w:rsidRPr="00B92503">
        <w:rPr>
          <w:rStyle w:val="FootnoteReference"/>
          <w:sz w:val="24"/>
          <w:lang w:bidi="en-US"/>
        </w:rPr>
        <w:footnoteReference w:id="43"/>
      </w:r>
    </w:p>
    <w:p w:rsidR="00636AE1" w:rsidRPr="00B92503" w:rsidRDefault="00636AE1" w:rsidP="00553120">
      <w:pPr>
        <w:pStyle w:val="ListParagraph"/>
      </w:pPr>
      <w:r w:rsidRPr="00B92503">
        <w:t>The State concludes contracts / conventions with providers of services (workshops and housing facilities) and bears the costs relating thereto.</w:t>
      </w:r>
    </w:p>
    <w:p w:rsidR="00636AE1" w:rsidRPr="00B92503" w:rsidRDefault="00636AE1" w:rsidP="00553120">
      <w:pPr>
        <w:pStyle w:val="ListParagraph"/>
      </w:pPr>
      <w:r w:rsidRPr="00B92503">
        <w:t>Disability associations receive state or municipal subsidies</w:t>
      </w:r>
      <w:r w:rsidRPr="00B92503">
        <w:rPr>
          <w:lang w:bidi="en-US"/>
        </w:rPr>
        <w:t xml:space="preserve"> </w:t>
      </w:r>
    </w:p>
    <w:p w:rsidR="00636AE1" w:rsidRPr="00B92503" w:rsidRDefault="00636AE1" w:rsidP="00553120">
      <w:pPr>
        <w:pStyle w:val="ListParagraph"/>
      </w:pPr>
      <w:r w:rsidRPr="00B92503">
        <w:t>Self-help groups do lobby work and take on tasks in the field of sensitisation and public relations, thus influencing politics.</w:t>
      </w:r>
    </w:p>
    <w:p w:rsidR="00420992" w:rsidRPr="00B92503" w:rsidRDefault="00420992" w:rsidP="00B92503">
      <w:pPr>
        <w:ind w:left="284" w:hanging="284"/>
        <w:rPr>
          <w:rFonts w:cs="Arial"/>
          <w:szCs w:val="24"/>
        </w:rPr>
      </w:pPr>
    </w:p>
    <w:p w:rsidR="00636AE1" w:rsidRPr="00B92503" w:rsidRDefault="00BB6B3F" w:rsidP="00B92503">
      <w:pPr>
        <w:rPr>
          <w:rFonts w:cs="Arial"/>
          <w:szCs w:val="24"/>
        </w:rPr>
      </w:pPr>
      <w:r w:rsidRPr="00B92503">
        <w:rPr>
          <w:rFonts w:cs="Arial"/>
          <w:i/>
          <w:szCs w:val="24"/>
        </w:rPr>
        <w:t>“</w:t>
      </w:r>
      <w:r w:rsidR="00636AE1" w:rsidRPr="00B92503">
        <w:rPr>
          <w:rFonts w:cs="Arial"/>
          <w:i/>
          <w:szCs w:val="24"/>
        </w:rPr>
        <w:t xml:space="preserve">In Luxembourg, cooperation between public authorities and associations </w:t>
      </w:r>
      <w:r w:rsidR="00F71523" w:rsidRPr="00B92503">
        <w:rPr>
          <w:rFonts w:cs="Arial"/>
          <w:i/>
          <w:szCs w:val="24"/>
        </w:rPr>
        <w:t>(</w:t>
      </w:r>
      <w:proofErr w:type="spellStart"/>
      <w:r w:rsidR="00F71523" w:rsidRPr="00B92503">
        <w:rPr>
          <w:rFonts w:cs="Arial"/>
          <w:i/>
          <w:szCs w:val="24"/>
        </w:rPr>
        <w:t>asbl</w:t>
      </w:r>
      <w:proofErr w:type="spellEnd"/>
      <w:r w:rsidR="00F71523" w:rsidRPr="00B92503">
        <w:rPr>
          <w:rFonts w:cs="Arial"/>
          <w:i/>
          <w:szCs w:val="24"/>
        </w:rPr>
        <w:t xml:space="preserve"> foundation) </w:t>
      </w:r>
      <w:r w:rsidR="00636AE1" w:rsidRPr="00B92503">
        <w:rPr>
          <w:rFonts w:cs="Arial"/>
          <w:i/>
          <w:szCs w:val="24"/>
        </w:rPr>
        <w:t>for the disabled is generally intended to take place by mutual agreement and without public dissent.</w:t>
      </w:r>
      <w:r w:rsidRPr="00B92503">
        <w:rPr>
          <w:rFonts w:cs="Arial"/>
          <w:i/>
          <w:szCs w:val="24"/>
        </w:rPr>
        <w:t>”</w:t>
      </w:r>
      <w:r w:rsidR="00636AE1" w:rsidRPr="00B92503">
        <w:rPr>
          <w:rFonts w:cs="Arial"/>
          <w:szCs w:val="24"/>
        </w:rPr>
        <w:t xml:space="preserve"> (</w:t>
      </w:r>
      <w:proofErr w:type="spellStart"/>
      <w:r w:rsidR="00636AE1" w:rsidRPr="00B92503">
        <w:rPr>
          <w:rFonts w:cs="Arial"/>
          <w:szCs w:val="24"/>
        </w:rPr>
        <w:t>Sagramola</w:t>
      </w:r>
      <w:proofErr w:type="spellEnd"/>
      <w:r w:rsidR="00636AE1" w:rsidRPr="00B92503">
        <w:rPr>
          <w:rFonts w:cs="Arial"/>
          <w:szCs w:val="24"/>
        </w:rPr>
        <w:t>, Silvio 2009, 241)</w:t>
      </w:r>
      <w:r w:rsidR="0024157B" w:rsidRPr="00B92503">
        <w:rPr>
          <w:rStyle w:val="FootnoteReference"/>
          <w:rFonts w:cs="Arial"/>
          <w:sz w:val="24"/>
          <w:szCs w:val="24"/>
          <w:lang w:bidi="en-US"/>
        </w:rPr>
        <w:footnoteReference w:id="44"/>
      </w:r>
    </w:p>
    <w:p w:rsidR="00620511" w:rsidRPr="00B92503" w:rsidRDefault="00620511" w:rsidP="00B92503">
      <w:pPr>
        <w:rPr>
          <w:rFonts w:cs="Arial"/>
          <w:szCs w:val="24"/>
        </w:rPr>
      </w:pPr>
    </w:p>
    <w:p w:rsidR="008E4ACD" w:rsidRPr="00B92503" w:rsidRDefault="008E4ACD" w:rsidP="00B92503">
      <w:pPr>
        <w:pStyle w:val="Heading2"/>
        <w:ind w:hanging="576"/>
        <w:rPr>
          <w:rFonts w:cs="Arial"/>
          <w:szCs w:val="24"/>
        </w:rPr>
      </w:pPr>
      <w:bookmarkStart w:id="20" w:name="_Toc529874060"/>
      <w:bookmarkStart w:id="21" w:name="_Toc7612956"/>
      <w:r w:rsidRPr="00B92503">
        <w:rPr>
          <w:rFonts w:cs="Arial"/>
          <w:szCs w:val="24"/>
        </w:rPr>
        <w:t xml:space="preserve">In which document(s) are </w:t>
      </w:r>
      <w:r w:rsidR="00ED6A9A" w:rsidRPr="00B92503">
        <w:rPr>
          <w:rFonts w:cs="Arial"/>
          <w:szCs w:val="24"/>
        </w:rPr>
        <w:t xml:space="preserve">government </w:t>
      </w:r>
      <w:r w:rsidRPr="00B92503">
        <w:rPr>
          <w:rFonts w:cs="Arial"/>
          <w:szCs w:val="24"/>
        </w:rPr>
        <w:t xml:space="preserve">commitments and plans concerning </w:t>
      </w:r>
      <w:r w:rsidR="002A75B1" w:rsidRPr="00B92503">
        <w:rPr>
          <w:rFonts w:cs="Arial"/>
          <w:szCs w:val="24"/>
        </w:rPr>
        <w:t>support for independent living in the community</w:t>
      </w:r>
      <w:r w:rsidR="0041392D" w:rsidRPr="00B92503">
        <w:rPr>
          <w:rFonts w:cs="Arial"/>
          <w:szCs w:val="24"/>
        </w:rPr>
        <w:t xml:space="preserve"> set out</w:t>
      </w:r>
      <w:r w:rsidR="000356A9" w:rsidRPr="00B92503">
        <w:rPr>
          <w:rFonts w:cs="Arial"/>
          <w:szCs w:val="24"/>
        </w:rPr>
        <w:t>?</w:t>
      </w:r>
      <w:bookmarkEnd w:id="20"/>
      <w:r w:rsidR="00555867" w:rsidRPr="00553120">
        <w:rPr>
          <w:rStyle w:val="FootnoteReference"/>
          <w:rFonts w:cs="Arial"/>
          <w:b w:val="0"/>
          <w:sz w:val="24"/>
          <w:szCs w:val="24"/>
        </w:rPr>
        <w:footnoteReference w:id="45"/>
      </w:r>
      <w:bookmarkEnd w:id="21"/>
    </w:p>
    <w:p w:rsidR="007D2197" w:rsidRPr="00B92503" w:rsidRDefault="007D2197" w:rsidP="00B92503">
      <w:pPr>
        <w:rPr>
          <w:rFonts w:cs="Arial"/>
          <w:szCs w:val="24"/>
        </w:rPr>
      </w:pPr>
    </w:p>
    <w:p w:rsidR="00317378" w:rsidRPr="00B92503" w:rsidRDefault="00D304DF" w:rsidP="00B92503">
      <w:pPr>
        <w:rPr>
          <w:rFonts w:cs="Arial"/>
          <w:szCs w:val="24"/>
          <w:lang w:bidi="en-US"/>
        </w:rPr>
      </w:pPr>
      <w:r w:rsidRPr="00B92503">
        <w:rPr>
          <w:rFonts w:cs="Arial"/>
          <w:szCs w:val="24"/>
        </w:rPr>
        <w:t xml:space="preserve">Luxembourg society has a long tradition of the institutional view of well-being and </w:t>
      </w:r>
      <w:r w:rsidRPr="00B92503">
        <w:rPr>
          <w:rFonts w:cs="Arial"/>
          <w:szCs w:val="24"/>
          <w:lang w:bidi="en-US"/>
        </w:rPr>
        <w:t>care</w:t>
      </w:r>
      <w:r w:rsidR="00553120">
        <w:rPr>
          <w:rFonts w:cs="Arial"/>
          <w:szCs w:val="24"/>
          <w:lang w:bidi="en-US"/>
        </w:rPr>
        <w:t>,</w:t>
      </w:r>
      <w:r w:rsidRPr="00B92503">
        <w:rPr>
          <w:rStyle w:val="FootnoteReference"/>
          <w:rFonts w:cs="Arial"/>
          <w:sz w:val="24"/>
          <w:szCs w:val="24"/>
          <w:lang w:bidi="en-US"/>
        </w:rPr>
        <w:footnoteReference w:id="46"/>
      </w:r>
      <w:r w:rsidRPr="00B92503">
        <w:rPr>
          <w:rFonts w:cs="Arial"/>
          <w:szCs w:val="24"/>
        </w:rPr>
        <w:t xml:space="preserve"> so that before the adoption of the UN Convention on Human Rights for Persons with Disabilities </w:t>
      </w:r>
      <w:r w:rsidR="00181977" w:rsidRPr="00B92503">
        <w:rPr>
          <w:rFonts w:cs="Arial"/>
          <w:szCs w:val="24"/>
        </w:rPr>
        <w:t>in 2011</w:t>
      </w:r>
      <w:r w:rsidR="00620511" w:rsidRPr="00B92503">
        <w:rPr>
          <w:rFonts w:cs="Arial"/>
          <w:szCs w:val="24"/>
        </w:rPr>
        <w:t xml:space="preserve"> </w:t>
      </w:r>
      <w:r w:rsidRPr="00B92503">
        <w:rPr>
          <w:rFonts w:cs="Arial"/>
          <w:szCs w:val="24"/>
        </w:rPr>
        <w:t>there were hardly any clear statements in the legal documents in favour of independent living for people with disabilities, except for a</w:t>
      </w:r>
      <w:r w:rsidRPr="00B92503">
        <w:rPr>
          <w:rFonts w:cs="Arial"/>
          <w:szCs w:val="24"/>
          <w:lang w:bidi="en-US"/>
        </w:rPr>
        <w:t xml:space="preserve"> </w:t>
      </w:r>
      <w:r w:rsidRPr="00B92503">
        <w:rPr>
          <w:rFonts w:cs="Arial"/>
          <w:szCs w:val="24"/>
        </w:rPr>
        <w:t xml:space="preserve">brief declaration of intent in the Disability Action </w:t>
      </w:r>
      <w:r w:rsidRPr="00B92503">
        <w:rPr>
          <w:rFonts w:cs="Arial"/>
          <w:szCs w:val="24"/>
          <w:lang w:bidi="en-US"/>
        </w:rPr>
        <w:t>Plan</w:t>
      </w:r>
      <w:r w:rsidRPr="00B92503">
        <w:rPr>
          <w:rStyle w:val="FootnoteReference"/>
          <w:rFonts w:cs="Arial"/>
          <w:sz w:val="24"/>
          <w:szCs w:val="24"/>
          <w:lang w:bidi="en-US"/>
        </w:rPr>
        <w:footnoteReference w:id="47"/>
      </w:r>
      <w:r w:rsidRPr="00B92503">
        <w:rPr>
          <w:rFonts w:cs="Arial"/>
          <w:szCs w:val="24"/>
        </w:rPr>
        <w:t xml:space="preserve"> published by the former Ministry concerned. </w:t>
      </w:r>
      <w:r w:rsidR="003B2919" w:rsidRPr="00B92503">
        <w:rPr>
          <w:rFonts w:cs="Arial"/>
          <w:szCs w:val="24"/>
        </w:rPr>
        <w:t>(</w:t>
      </w:r>
      <w:r w:rsidR="003B2919" w:rsidRPr="00B92503">
        <w:rPr>
          <w:rFonts w:cs="Arial"/>
          <w:i/>
          <w:szCs w:val="24"/>
        </w:rPr>
        <w:t xml:space="preserve">Plan </w:t>
      </w:r>
      <w:proofErr w:type="spellStart"/>
      <w:r w:rsidR="003B2919" w:rsidRPr="00B92503">
        <w:rPr>
          <w:rFonts w:cs="Arial"/>
          <w:i/>
          <w:szCs w:val="24"/>
        </w:rPr>
        <w:t>d’action</w:t>
      </w:r>
      <w:proofErr w:type="spellEnd"/>
      <w:r w:rsidR="003B2919" w:rsidRPr="00B92503">
        <w:rPr>
          <w:rFonts w:cs="Arial"/>
          <w:i/>
          <w:szCs w:val="24"/>
        </w:rPr>
        <w:t xml:space="preserve"> </w:t>
      </w:r>
      <w:proofErr w:type="spellStart"/>
      <w:r w:rsidR="003B2919" w:rsidRPr="00B92503">
        <w:rPr>
          <w:rFonts w:cs="Arial"/>
          <w:i/>
          <w:szCs w:val="24"/>
        </w:rPr>
        <w:t>en</w:t>
      </w:r>
      <w:proofErr w:type="spellEnd"/>
      <w:r w:rsidR="003B2919" w:rsidRPr="00B92503">
        <w:rPr>
          <w:rFonts w:cs="Arial"/>
          <w:i/>
          <w:szCs w:val="24"/>
        </w:rPr>
        <w:t xml:space="preserve"> </w:t>
      </w:r>
      <w:proofErr w:type="spellStart"/>
      <w:r w:rsidR="003B2919" w:rsidRPr="00B92503">
        <w:rPr>
          <w:rFonts w:cs="Arial"/>
          <w:i/>
          <w:szCs w:val="24"/>
        </w:rPr>
        <w:t>faveur</w:t>
      </w:r>
      <w:proofErr w:type="spellEnd"/>
      <w:r w:rsidR="003B2919" w:rsidRPr="00B92503">
        <w:rPr>
          <w:rFonts w:cs="Arial"/>
          <w:i/>
          <w:szCs w:val="24"/>
        </w:rPr>
        <w:t xml:space="preserve"> des </w:t>
      </w:r>
      <w:proofErr w:type="spellStart"/>
      <w:r w:rsidR="003B2919" w:rsidRPr="00B92503">
        <w:rPr>
          <w:rFonts w:cs="Arial"/>
          <w:i/>
          <w:szCs w:val="24"/>
        </w:rPr>
        <w:t>personnes</w:t>
      </w:r>
      <w:proofErr w:type="spellEnd"/>
      <w:r w:rsidR="003B2919" w:rsidRPr="00B92503">
        <w:rPr>
          <w:rFonts w:cs="Arial"/>
          <w:i/>
          <w:szCs w:val="24"/>
        </w:rPr>
        <w:t xml:space="preserve"> </w:t>
      </w:r>
      <w:proofErr w:type="spellStart"/>
      <w:r w:rsidR="003B2919" w:rsidRPr="00B92503">
        <w:rPr>
          <w:rFonts w:cs="Arial"/>
          <w:i/>
          <w:szCs w:val="24"/>
        </w:rPr>
        <w:t>handicapées</w:t>
      </w:r>
      <w:proofErr w:type="spellEnd"/>
      <w:r w:rsidR="003B2919" w:rsidRPr="00B92503">
        <w:rPr>
          <w:rFonts w:cs="Arial"/>
          <w:szCs w:val="24"/>
        </w:rPr>
        <w:t>, 1997, p.15)</w:t>
      </w:r>
      <w:r w:rsidR="00256857">
        <w:rPr>
          <w:rFonts w:cs="Arial"/>
          <w:szCs w:val="24"/>
        </w:rPr>
        <w:t>.</w:t>
      </w:r>
      <w:r w:rsidRPr="00B92503">
        <w:rPr>
          <w:rStyle w:val="FootnoteReference"/>
          <w:rFonts w:cs="Arial"/>
          <w:sz w:val="24"/>
          <w:szCs w:val="24"/>
          <w:lang w:bidi="en-US"/>
        </w:rPr>
        <w:footnoteReference w:id="48"/>
      </w:r>
      <w:r w:rsidR="003B2919" w:rsidRPr="00B92503">
        <w:rPr>
          <w:rFonts w:cs="Arial"/>
          <w:szCs w:val="24"/>
          <w:lang w:bidi="en-US"/>
        </w:rPr>
        <w:t xml:space="preserve"> </w:t>
      </w:r>
    </w:p>
    <w:p w:rsidR="00620511" w:rsidRPr="00B92503" w:rsidRDefault="00317378" w:rsidP="00B92503">
      <w:pPr>
        <w:rPr>
          <w:rFonts w:cs="Arial"/>
          <w:szCs w:val="24"/>
        </w:rPr>
      </w:pPr>
      <w:r w:rsidRPr="00B92503">
        <w:rPr>
          <w:rFonts w:cs="Arial"/>
          <w:szCs w:val="24"/>
        </w:rPr>
        <w:lastRenderedPageBreak/>
        <w:t>Current statements of will are mostly manifested in the form of financing takeovers or subsidies as well as in the provision of corresponding structures, without an abstractly formulated conceptual directive being prescribed for them.</w:t>
      </w:r>
    </w:p>
    <w:p w:rsidR="00420992" w:rsidRPr="00B92503" w:rsidRDefault="00420992" w:rsidP="00B92503">
      <w:pPr>
        <w:rPr>
          <w:rFonts w:cs="Arial"/>
          <w:szCs w:val="24"/>
        </w:rPr>
      </w:pPr>
    </w:p>
    <w:p w:rsidR="009412E3" w:rsidRPr="00B92503" w:rsidRDefault="009412E3" w:rsidP="00B92503">
      <w:pPr>
        <w:rPr>
          <w:rFonts w:cs="Arial"/>
          <w:szCs w:val="24"/>
        </w:rPr>
      </w:pPr>
      <w:r w:rsidRPr="00B92503">
        <w:rPr>
          <w:rFonts w:cs="Arial"/>
          <w:szCs w:val="24"/>
        </w:rPr>
        <w:t xml:space="preserve">The </w:t>
      </w:r>
      <w:r w:rsidR="003B2919" w:rsidRPr="00B92503">
        <w:rPr>
          <w:rFonts w:cs="Arial"/>
          <w:szCs w:val="24"/>
        </w:rPr>
        <w:t>national compulsory long term care insurance (</w:t>
      </w:r>
      <w:r w:rsidR="003B2919" w:rsidRPr="00B92503">
        <w:rPr>
          <w:rFonts w:cs="Arial"/>
          <w:i/>
          <w:szCs w:val="24"/>
        </w:rPr>
        <w:t>assurance dépendance</w:t>
      </w:r>
      <w:r w:rsidR="00620511" w:rsidRPr="00B92503">
        <w:rPr>
          <w:rFonts w:cs="Arial"/>
          <w:szCs w:val="24"/>
        </w:rPr>
        <w:t>,</w:t>
      </w:r>
      <w:r w:rsidRPr="00B92503">
        <w:rPr>
          <w:rFonts w:cs="Arial"/>
          <w:szCs w:val="24"/>
        </w:rPr>
        <w:t>1998)</w:t>
      </w:r>
      <w:r w:rsidRPr="00B92503">
        <w:rPr>
          <w:rStyle w:val="FootnoteReference"/>
          <w:rFonts w:cs="Arial"/>
          <w:sz w:val="24"/>
          <w:szCs w:val="24"/>
          <w:lang w:bidi="en-US"/>
        </w:rPr>
        <w:footnoteReference w:id="49"/>
      </w:r>
      <w:r w:rsidRPr="00B92503">
        <w:rPr>
          <w:rFonts w:cs="Arial"/>
          <w:szCs w:val="24"/>
        </w:rPr>
        <w:t xml:space="preserve"> specifies as main purpose to provide benefits in kind, assistance and care as well as technical aids and housing adaptations and distinguishes between two scenarios: Payment of services in a stationary environment (</w:t>
      </w:r>
      <w:r w:rsidRPr="00B92503">
        <w:rPr>
          <w:rFonts w:cs="Arial"/>
          <w:i/>
          <w:szCs w:val="24"/>
        </w:rPr>
        <w:t xml:space="preserve">Prise </w:t>
      </w:r>
      <w:proofErr w:type="spellStart"/>
      <w:r w:rsidRPr="00B92503">
        <w:rPr>
          <w:rFonts w:cs="Arial"/>
          <w:i/>
          <w:szCs w:val="24"/>
        </w:rPr>
        <w:t>en</w:t>
      </w:r>
      <w:proofErr w:type="spellEnd"/>
      <w:r w:rsidRPr="00B92503">
        <w:rPr>
          <w:rFonts w:cs="Arial"/>
          <w:i/>
          <w:szCs w:val="24"/>
        </w:rPr>
        <w:t xml:space="preserve"> charge des </w:t>
      </w:r>
      <w:proofErr w:type="spellStart"/>
      <w:r w:rsidRPr="00B92503">
        <w:rPr>
          <w:rFonts w:cs="Arial"/>
          <w:i/>
          <w:szCs w:val="24"/>
        </w:rPr>
        <w:t>prestations</w:t>
      </w:r>
      <w:proofErr w:type="spellEnd"/>
      <w:r w:rsidRPr="00B92503">
        <w:rPr>
          <w:rFonts w:cs="Arial"/>
          <w:i/>
          <w:szCs w:val="24"/>
        </w:rPr>
        <w:t xml:space="preserve"> </w:t>
      </w:r>
      <w:proofErr w:type="spellStart"/>
      <w:r w:rsidRPr="00B92503">
        <w:rPr>
          <w:rFonts w:cs="Arial"/>
          <w:i/>
          <w:szCs w:val="24"/>
        </w:rPr>
        <w:t>en</w:t>
      </w:r>
      <w:proofErr w:type="spellEnd"/>
      <w:r w:rsidRPr="00B92503">
        <w:rPr>
          <w:rFonts w:cs="Arial"/>
          <w:i/>
          <w:szCs w:val="24"/>
        </w:rPr>
        <w:t xml:space="preserve"> milieu </w:t>
      </w:r>
      <w:proofErr w:type="spellStart"/>
      <w:r w:rsidRPr="00B92503">
        <w:rPr>
          <w:rFonts w:cs="Arial"/>
          <w:i/>
          <w:szCs w:val="24"/>
        </w:rPr>
        <w:t>stationnaire</w:t>
      </w:r>
      <w:proofErr w:type="spellEnd"/>
      <w:r w:rsidRPr="00B92503">
        <w:rPr>
          <w:rFonts w:cs="Arial"/>
          <w:szCs w:val="24"/>
        </w:rPr>
        <w:t>) and Coverage of services in the case of home support (</w:t>
      </w:r>
      <w:r w:rsidRPr="00B92503">
        <w:rPr>
          <w:rFonts w:cs="Arial"/>
          <w:i/>
          <w:szCs w:val="24"/>
        </w:rPr>
        <w:t xml:space="preserve">Prise </w:t>
      </w:r>
      <w:proofErr w:type="spellStart"/>
      <w:r w:rsidRPr="00B92503">
        <w:rPr>
          <w:rFonts w:cs="Arial"/>
          <w:i/>
          <w:szCs w:val="24"/>
        </w:rPr>
        <w:t>en</w:t>
      </w:r>
      <w:proofErr w:type="spellEnd"/>
      <w:r w:rsidRPr="00B92503">
        <w:rPr>
          <w:rFonts w:cs="Arial"/>
          <w:i/>
          <w:szCs w:val="24"/>
        </w:rPr>
        <w:t xml:space="preserve"> charge des </w:t>
      </w:r>
      <w:proofErr w:type="spellStart"/>
      <w:r w:rsidRPr="00B92503">
        <w:rPr>
          <w:rFonts w:cs="Arial"/>
          <w:i/>
          <w:szCs w:val="24"/>
        </w:rPr>
        <w:t>prestations</w:t>
      </w:r>
      <w:proofErr w:type="spellEnd"/>
      <w:r w:rsidRPr="00B92503">
        <w:rPr>
          <w:rFonts w:cs="Arial"/>
          <w:i/>
          <w:szCs w:val="24"/>
        </w:rPr>
        <w:t xml:space="preserve"> </w:t>
      </w:r>
      <w:proofErr w:type="spellStart"/>
      <w:r w:rsidRPr="00B92503">
        <w:rPr>
          <w:rFonts w:cs="Arial"/>
          <w:i/>
          <w:szCs w:val="24"/>
        </w:rPr>
        <w:t>en</w:t>
      </w:r>
      <w:proofErr w:type="spellEnd"/>
      <w:r w:rsidRPr="00B92503">
        <w:rPr>
          <w:rFonts w:cs="Arial"/>
          <w:i/>
          <w:szCs w:val="24"/>
        </w:rPr>
        <w:t xml:space="preserve"> </w:t>
      </w:r>
      <w:proofErr w:type="spellStart"/>
      <w:r w:rsidRPr="00B92503">
        <w:rPr>
          <w:rFonts w:cs="Arial"/>
          <w:i/>
          <w:szCs w:val="24"/>
        </w:rPr>
        <w:t>cas</w:t>
      </w:r>
      <w:proofErr w:type="spellEnd"/>
      <w:r w:rsidRPr="00B92503">
        <w:rPr>
          <w:rFonts w:cs="Arial"/>
          <w:i/>
          <w:szCs w:val="24"/>
        </w:rPr>
        <w:t xml:space="preserve"> de </w:t>
      </w:r>
      <w:proofErr w:type="spellStart"/>
      <w:r w:rsidRPr="00B92503">
        <w:rPr>
          <w:rFonts w:cs="Arial"/>
          <w:i/>
          <w:szCs w:val="24"/>
        </w:rPr>
        <w:t>maintien</w:t>
      </w:r>
      <w:proofErr w:type="spellEnd"/>
      <w:r w:rsidRPr="00B92503">
        <w:rPr>
          <w:rFonts w:cs="Arial"/>
          <w:i/>
          <w:szCs w:val="24"/>
        </w:rPr>
        <w:t xml:space="preserve"> à domicile</w:t>
      </w:r>
      <w:r w:rsidRPr="00B92503">
        <w:rPr>
          <w:rFonts w:cs="Arial"/>
          <w:szCs w:val="24"/>
        </w:rPr>
        <w:t>)</w:t>
      </w:r>
      <w:r w:rsidR="00620511" w:rsidRPr="00B92503">
        <w:rPr>
          <w:rFonts w:cs="Arial"/>
          <w:szCs w:val="24"/>
        </w:rPr>
        <w:t xml:space="preserve"> </w:t>
      </w:r>
      <w:r w:rsidRPr="00B92503">
        <w:rPr>
          <w:rFonts w:cs="Arial"/>
          <w:szCs w:val="24"/>
        </w:rPr>
        <w:t xml:space="preserve">without committing to a preference for </w:t>
      </w:r>
      <w:r w:rsidR="00A7008C" w:rsidRPr="00B92503">
        <w:rPr>
          <w:rFonts w:cs="Arial"/>
          <w:szCs w:val="24"/>
        </w:rPr>
        <w:t xml:space="preserve">the last mentioned - </w:t>
      </w:r>
      <w:r w:rsidRPr="00B92503">
        <w:rPr>
          <w:rFonts w:cs="Arial"/>
          <w:i/>
          <w:szCs w:val="24"/>
        </w:rPr>
        <w:t>independent living</w:t>
      </w:r>
      <w:r w:rsidRPr="00B92503">
        <w:rPr>
          <w:rFonts w:cs="Arial"/>
          <w:szCs w:val="24"/>
        </w:rPr>
        <w:t>.</w:t>
      </w:r>
    </w:p>
    <w:p w:rsidR="00420992" w:rsidRPr="00B92503" w:rsidRDefault="00420992" w:rsidP="00B92503">
      <w:pPr>
        <w:rPr>
          <w:rFonts w:cs="Arial"/>
          <w:szCs w:val="24"/>
        </w:rPr>
      </w:pPr>
    </w:p>
    <w:p w:rsidR="003B2919" w:rsidRPr="00B92503" w:rsidRDefault="00A7008C" w:rsidP="00B92503">
      <w:pPr>
        <w:rPr>
          <w:rFonts w:cs="Arial"/>
          <w:szCs w:val="24"/>
        </w:rPr>
      </w:pPr>
      <w:r w:rsidRPr="00B92503">
        <w:rPr>
          <w:rFonts w:cs="Arial"/>
          <w:szCs w:val="24"/>
        </w:rPr>
        <w:t>T</w:t>
      </w:r>
      <w:r w:rsidR="003B2919" w:rsidRPr="00B92503">
        <w:rPr>
          <w:rFonts w:cs="Arial"/>
          <w:szCs w:val="24"/>
        </w:rPr>
        <w:t>he basic income guarantee (RMG renamed and</w:t>
      </w:r>
      <w:r w:rsidRPr="00B92503">
        <w:rPr>
          <w:rFonts w:cs="Arial"/>
          <w:szCs w:val="24"/>
        </w:rPr>
        <w:t xml:space="preserve"> </w:t>
      </w:r>
      <w:r w:rsidR="003B2919" w:rsidRPr="00B92503">
        <w:rPr>
          <w:rFonts w:cs="Arial"/>
          <w:szCs w:val="24"/>
        </w:rPr>
        <w:t xml:space="preserve">substantially reformed in </w:t>
      </w:r>
      <w:r w:rsidRPr="00B92503">
        <w:rPr>
          <w:rFonts w:cs="Arial"/>
          <w:szCs w:val="24"/>
        </w:rPr>
        <w:t xml:space="preserve">2018 to </w:t>
      </w:r>
      <w:r w:rsidR="003B2919" w:rsidRPr="00B92503">
        <w:rPr>
          <w:rFonts w:cs="Arial"/>
          <w:szCs w:val="24"/>
        </w:rPr>
        <w:t>REVIS</w:t>
      </w:r>
      <w:r w:rsidRPr="00B92503">
        <w:rPr>
          <w:rFonts w:cs="Arial"/>
          <w:szCs w:val="24"/>
        </w:rPr>
        <w:t xml:space="preserve"> - </w:t>
      </w:r>
      <w:proofErr w:type="spellStart"/>
      <w:r w:rsidRPr="00B92503">
        <w:rPr>
          <w:rFonts w:cs="Arial"/>
          <w:i/>
          <w:szCs w:val="24"/>
        </w:rPr>
        <w:t>Revenu</w:t>
      </w:r>
      <w:proofErr w:type="spellEnd"/>
      <w:r w:rsidRPr="00B92503">
        <w:rPr>
          <w:rFonts w:cs="Arial"/>
          <w:i/>
          <w:szCs w:val="24"/>
        </w:rPr>
        <w:t xml:space="preserve"> </w:t>
      </w:r>
      <w:proofErr w:type="spellStart"/>
      <w:r w:rsidRPr="00B92503">
        <w:rPr>
          <w:rFonts w:cs="Arial"/>
          <w:i/>
          <w:szCs w:val="24"/>
        </w:rPr>
        <w:t>d’inclusion</w:t>
      </w:r>
      <w:proofErr w:type="spellEnd"/>
      <w:r w:rsidRPr="00B92503">
        <w:rPr>
          <w:rFonts w:cs="Arial"/>
          <w:i/>
          <w:szCs w:val="24"/>
        </w:rPr>
        <w:t xml:space="preserve"> </w:t>
      </w:r>
      <w:proofErr w:type="spellStart"/>
      <w:r w:rsidRPr="00B92503">
        <w:rPr>
          <w:rFonts w:cs="Arial"/>
          <w:i/>
          <w:szCs w:val="24"/>
        </w:rPr>
        <w:t>sociale</w:t>
      </w:r>
      <w:proofErr w:type="spellEnd"/>
      <w:r w:rsidRPr="00B92503">
        <w:rPr>
          <w:rFonts w:cs="Arial"/>
          <w:szCs w:val="24"/>
        </w:rPr>
        <w:t xml:space="preserve"> income for social inclusion</w:t>
      </w:r>
      <w:r w:rsidR="003B2919" w:rsidRPr="00B92503">
        <w:rPr>
          <w:rFonts w:cs="Arial"/>
          <w:szCs w:val="24"/>
        </w:rPr>
        <w:t>)</w:t>
      </w:r>
      <w:r w:rsidR="00AB6D61" w:rsidRPr="00B92503">
        <w:rPr>
          <w:rStyle w:val="FootnoteReference"/>
          <w:rFonts w:cs="Arial"/>
          <w:sz w:val="24"/>
          <w:szCs w:val="24"/>
          <w:lang w:bidi="en-US"/>
        </w:rPr>
        <w:footnoteReference w:id="50"/>
      </w:r>
      <w:r w:rsidR="003B2919" w:rsidRPr="00B92503">
        <w:rPr>
          <w:rFonts w:cs="Arial"/>
          <w:szCs w:val="24"/>
        </w:rPr>
        <w:t xml:space="preserve"> and basic income guarantee for persons with disabilities unable to work (</w:t>
      </w:r>
      <w:r w:rsidR="003B2919" w:rsidRPr="00B92503">
        <w:rPr>
          <w:rFonts w:cs="Arial"/>
          <w:i/>
          <w:szCs w:val="24"/>
        </w:rPr>
        <w:t>'</w:t>
      </w:r>
      <w:proofErr w:type="spellStart"/>
      <w:r w:rsidR="003B2919" w:rsidRPr="00B92503">
        <w:rPr>
          <w:rFonts w:cs="Arial"/>
          <w:i/>
          <w:szCs w:val="24"/>
        </w:rPr>
        <w:t>revenu</w:t>
      </w:r>
      <w:proofErr w:type="spellEnd"/>
      <w:r w:rsidR="003B2919" w:rsidRPr="00B92503">
        <w:rPr>
          <w:rFonts w:cs="Arial"/>
          <w:i/>
          <w:szCs w:val="24"/>
        </w:rPr>
        <w:t xml:space="preserve"> pour </w:t>
      </w:r>
      <w:proofErr w:type="spellStart"/>
      <w:r w:rsidR="003B2919" w:rsidRPr="00B92503">
        <w:rPr>
          <w:rFonts w:cs="Arial"/>
          <w:i/>
          <w:szCs w:val="24"/>
        </w:rPr>
        <w:t>personne</w:t>
      </w:r>
      <w:proofErr w:type="spellEnd"/>
      <w:r w:rsidR="003B2919" w:rsidRPr="00B92503">
        <w:rPr>
          <w:rFonts w:cs="Arial"/>
          <w:i/>
          <w:szCs w:val="24"/>
        </w:rPr>
        <w:t xml:space="preserve"> </w:t>
      </w:r>
      <w:proofErr w:type="spellStart"/>
      <w:r w:rsidR="003B2919" w:rsidRPr="00B92503">
        <w:rPr>
          <w:rFonts w:cs="Arial"/>
          <w:i/>
          <w:szCs w:val="24"/>
        </w:rPr>
        <w:t>gravement</w:t>
      </w:r>
      <w:proofErr w:type="spellEnd"/>
      <w:r w:rsidR="003B2919" w:rsidRPr="00B92503">
        <w:rPr>
          <w:rFonts w:cs="Arial"/>
          <w:i/>
          <w:szCs w:val="24"/>
        </w:rPr>
        <w:t xml:space="preserve"> </w:t>
      </w:r>
      <w:proofErr w:type="spellStart"/>
      <w:r w:rsidR="003B2919" w:rsidRPr="00B92503">
        <w:rPr>
          <w:rFonts w:cs="Arial"/>
          <w:i/>
          <w:szCs w:val="24"/>
        </w:rPr>
        <w:t>handicapée</w:t>
      </w:r>
      <w:proofErr w:type="spellEnd"/>
      <w:r w:rsidR="003B2919" w:rsidRPr="00B92503">
        <w:rPr>
          <w:rFonts w:cs="Arial"/>
          <w:i/>
          <w:szCs w:val="24"/>
        </w:rPr>
        <w:t xml:space="preserve"> - RPGH</w:t>
      </w:r>
      <w:r w:rsidR="003B2919" w:rsidRPr="00B92503">
        <w:rPr>
          <w:rFonts w:cs="Arial"/>
          <w:szCs w:val="24"/>
        </w:rPr>
        <w:t>')</w:t>
      </w:r>
      <w:r w:rsidR="00553120">
        <w:rPr>
          <w:rFonts w:cs="Arial"/>
          <w:szCs w:val="24"/>
        </w:rPr>
        <w:t>,</w:t>
      </w:r>
      <w:r w:rsidR="00AB6D61" w:rsidRPr="00B92503">
        <w:rPr>
          <w:rStyle w:val="FootnoteReference"/>
          <w:rFonts w:cs="Arial"/>
          <w:sz w:val="24"/>
          <w:szCs w:val="24"/>
          <w:lang w:bidi="en-US"/>
        </w:rPr>
        <w:footnoteReference w:id="51"/>
      </w:r>
      <w:r w:rsidR="003B2919" w:rsidRPr="00B92503">
        <w:rPr>
          <w:rFonts w:cs="Arial"/>
          <w:szCs w:val="24"/>
        </w:rPr>
        <w:t xml:space="preserve"> </w:t>
      </w:r>
      <w:r w:rsidRPr="00B92503">
        <w:rPr>
          <w:rFonts w:cs="Arial"/>
          <w:szCs w:val="24"/>
        </w:rPr>
        <w:t xml:space="preserve">both don’t </w:t>
      </w:r>
      <w:r w:rsidR="00AB6D61" w:rsidRPr="00B92503">
        <w:rPr>
          <w:rFonts w:cs="Arial"/>
          <w:szCs w:val="24"/>
        </w:rPr>
        <w:t>emphasize independent living as a priority of the legislation</w:t>
      </w:r>
      <w:r w:rsidR="003B2919" w:rsidRPr="00B92503">
        <w:rPr>
          <w:rFonts w:cs="Arial"/>
          <w:szCs w:val="24"/>
        </w:rPr>
        <w:t>.</w:t>
      </w:r>
      <w:r w:rsidR="008A78D9" w:rsidRPr="00B92503">
        <w:rPr>
          <w:rStyle w:val="FootnoteReference"/>
          <w:rFonts w:cs="Arial"/>
          <w:sz w:val="24"/>
          <w:szCs w:val="24"/>
          <w:lang w:bidi="en-US"/>
        </w:rPr>
        <w:footnoteReference w:id="52"/>
      </w:r>
    </w:p>
    <w:p w:rsidR="00420992" w:rsidRPr="00B92503" w:rsidRDefault="00420992" w:rsidP="00B92503">
      <w:pPr>
        <w:rPr>
          <w:rFonts w:cs="Arial"/>
          <w:szCs w:val="24"/>
        </w:rPr>
      </w:pPr>
    </w:p>
    <w:p w:rsidR="0004604B" w:rsidRDefault="00C10F5C" w:rsidP="00B92503">
      <w:pPr>
        <w:rPr>
          <w:rFonts w:cs="Arial"/>
          <w:szCs w:val="24"/>
        </w:rPr>
      </w:pPr>
      <w:r w:rsidRPr="00B92503">
        <w:rPr>
          <w:rFonts w:cs="Arial"/>
          <w:szCs w:val="24"/>
        </w:rPr>
        <w:t xml:space="preserve">One of the first governmental documents which tackles independent living is the </w:t>
      </w:r>
      <w:r w:rsidR="00256857" w:rsidRPr="00B92503">
        <w:rPr>
          <w:rFonts w:cs="Arial"/>
          <w:szCs w:val="24"/>
        </w:rPr>
        <w:t>above</w:t>
      </w:r>
      <w:r w:rsidR="00256857" w:rsidRPr="00B92503">
        <w:rPr>
          <w:rFonts w:cs="Arial"/>
          <w:szCs w:val="24"/>
          <w:lang w:bidi="en-US"/>
        </w:rPr>
        <w:t>-mentioned</w:t>
      </w:r>
      <w:r w:rsidRPr="00B92503">
        <w:rPr>
          <w:rFonts w:cs="Arial"/>
          <w:szCs w:val="24"/>
        </w:rPr>
        <w:t xml:space="preserve"> ministerial programme of action to improve the living conditions of people with disabilities (</w:t>
      </w:r>
      <w:r w:rsidRPr="00B92503">
        <w:rPr>
          <w:rFonts w:cs="Arial"/>
          <w:i/>
          <w:szCs w:val="24"/>
        </w:rPr>
        <w:t xml:space="preserve">Plan </w:t>
      </w:r>
      <w:proofErr w:type="spellStart"/>
      <w:r w:rsidRPr="00B92503">
        <w:rPr>
          <w:rFonts w:cs="Arial"/>
          <w:i/>
          <w:szCs w:val="24"/>
        </w:rPr>
        <w:t>d'action</w:t>
      </w:r>
      <w:proofErr w:type="spellEnd"/>
      <w:r w:rsidRPr="00B92503">
        <w:rPr>
          <w:rFonts w:cs="Arial"/>
          <w:i/>
          <w:szCs w:val="24"/>
        </w:rPr>
        <w:t xml:space="preserve"> </w:t>
      </w:r>
      <w:proofErr w:type="spellStart"/>
      <w:r w:rsidRPr="00B92503">
        <w:rPr>
          <w:rFonts w:cs="Arial"/>
          <w:i/>
          <w:szCs w:val="24"/>
        </w:rPr>
        <w:t>en</w:t>
      </w:r>
      <w:proofErr w:type="spellEnd"/>
      <w:r w:rsidRPr="00B92503">
        <w:rPr>
          <w:rFonts w:cs="Arial"/>
          <w:i/>
          <w:szCs w:val="24"/>
        </w:rPr>
        <w:t xml:space="preserve"> </w:t>
      </w:r>
      <w:proofErr w:type="spellStart"/>
      <w:r w:rsidRPr="00B92503">
        <w:rPr>
          <w:rFonts w:cs="Arial"/>
          <w:i/>
          <w:szCs w:val="24"/>
        </w:rPr>
        <w:t>faveur</w:t>
      </w:r>
      <w:proofErr w:type="spellEnd"/>
      <w:r w:rsidRPr="00B92503">
        <w:rPr>
          <w:rFonts w:cs="Arial"/>
          <w:i/>
          <w:szCs w:val="24"/>
        </w:rPr>
        <w:t xml:space="preserve"> des </w:t>
      </w:r>
      <w:proofErr w:type="spellStart"/>
      <w:r w:rsidRPr="00B92503">
        <w:rPr>
          <w:rFonts w:cs="Arial"/>
          <w:i/>
          <w:szCs w:val="24"/>
        </w:rPr>
        <w:t>personnes</w:t>
      </w:r>
      <w:proofErr w:type="spellEnd"/>
      <w:r w:rsidRPr="00B92503">
        <w:rPr>
          <w:rFonts w:cs="Arial"/>
          <w:i/>
          <w:szCs w:val="24"/>
        </w:rPr>
        <w:t xml:space="preserve"> </w:t>
      </w:r>
      <w:proofErr w:type="spellStart"/>
      <w:r w:rsidRPr="00B92503">
        <w:rPr>
          <w:rFonts w:cs="Arial"/>
          <w:i/>
          <w:szCs w:val="24"/>
        </w:rPr>
        <w:t>handicapées</w:t>
      </w:r>
      <w:proofErr w:type="spellEnd"/>
      <w:r w:rsidRPr="00B92503">
        <w:rPr>
          <w:rFonts w:cs="Arial"/>
          <w:szCs w:val="24"/>
        </w:rPr>
        <w:t xml:space="preserve"> 1997).</w:t>
      </w:r>
      <w:r w:rsidR="008540B0" w:rsidRPr="00B92503">
        <w:rPr>
          <w:rFonts w:cs="Arial"/>
          <w:szCs w:val="24"/>
        </w:rPr>
        <w:t xml:space="preserve"> Under the heading “</w:t>
      </w:r>
      <w:proofErr w:type="spellStart"/>
      <w:r w:rsidR="008540B0" w:rsidRPr="00B92503">
        <w:rPr>
          <w:rFonts w:cs="Arial"/>
          <w:i/>
          <w:szCs w:val="24"/>
        </w:rPr>
        <w:t>Intégration</w:t>
      </w:r>
      <w:proofErr w:type="spellEnd"/>
      <w:r w:rsidR="008540B0" w:rsidRPr="00B92503">
        <w:rPr>
          <w:rFonts w:cs="Arial"/>
          <w:i/>
          <w:szCs w:val="24"/>
        </w:rPr>
        <w:t xml:space="preserve"> </w:t>
      </w:r>
      <w:proofErr w:type="spellStart"/>
      <w:r w:rsidR="008540B0" w:rsidRPr="00B92503">
        <w:rPr>
          <w:rFonts w:cs="Arial"/>
          <w:i/>
          <w:szCs w:val="24"/>
        </w:rPr>
        <w:t>sociale</w:t>
      </w:r>
      <w:proofErr w:type="spellEnd"/>
      <w:r w:rsidR="008540B0" w:rsidRPr="00B92503">
        <w:rPr>
          <w:rFonts w:cs="Arial"/>
          <w:i/>
          <w:szCs w:val="24"/>
        </w:rPr>
        <w:t xml:space="preserve"> et vie </w:t>
      </w:r>
      <w:proofErr w:type="spellStart"/>
      <w:r w:rsidR="008540B0" w:rsidRPr="00B92503">
        <w:rPr>
          <w:rFonts w:cs="Arial"/>
          <w:i/>
          <w:szCs w:val="24"/>
        </w:rPr>
        <w:t>autonome</w:t>
      </w:r>
      <w:proofErr w:type="spellEnd"/>
      <w:r w:rsidR="008540B0" w:rsidRPr="00B92503">
        <w:rPr>
          <w:rFonts w:cs="Arial"/>
          <w:szCs w:val="24"/>
        </w:rPr>
        <w:t>”, (social inclusion and independent living) the report stated that in 1995/96, round about 70</w:t>
      </w:r>
      <w:r w:rsidR="00553120">
        <w:rPr>
          <w:rFonts w:cs="Arial"/>
          <w:szCs w:val="24"/>
        </w:rPr>
        <w:t xml:space="preserve"> </w:t>
      </w:r>
      <w:r w:rsidR="008540B0" w:rsidRPr="00B92503">
        <w:rPr>
          <w:rFonts w:cs="Arial"/>
          <w:szCs w:val="24"/>
        </w:rPr>
        <w:t xml:space="preserve">% of people with disabilities lived in institutions, however </w:t>
      </w:r>
      <w:r w:rsidR="001731C4" w:rsidRPr="00B92503">
        <w:rPr>
          <w:rFonts w:cs="Arial"/>
          <w:szCs w:val="24"/>
        </w:rPr>
        <w:t xml:space="preserve">these structures have changed enormously in terms of the quality of life offered. </w:t>
      </w:r>
      <w:r w:rsidR="00C82058" w:rsidRPr="00B92503">
        <w:rPr>
          <w:rFonts w:cs="Arial"/>
          <w:szCs w:val="24"/>
        </w:rPr>
        <w:t>Luxembourg p</w:t>
      </w:r>
      <w:r w:rsidR="001731C4" w:rsidRPr="00B92503">
        <w:rPr>
          <w:rFonts w:cs="Arial"/>
          <w:szCs w:val="24"/>
        </w:rPr>
        <w:t>olicy promotes a better quality of life for the disabled person through greater autonomy and independence and thus increased participation of the disabled person in the activities of his or her daily life.</w:t>
      </w:r>
      <w:r w:rsidR="00D04518" w:rsidRPr="00B92503">
        <w:rPr>
          <w:rFonts w:cs="Arial"/>
          <w:szCs w:val="24"/>
        </w:rPr>
        <w:t xml:space="preserve"> </w:t>
      </w:r>
      <w:r w:rsidR="000D0AA9" w:rsidRPr="00B92503">
        <w:rPr>
          <w:rFonts w:cs="Arial"/>
          <w:szCs w:val="24"/>
        </w:rPr>
        <w:t>The report recommends the following measures to relieve the burden on families in the context of a disability and to help them to live a normal and independent life:</w:t>
      </w:r>
    </w:p>
    <w:p w:rsidR="00256857" w:rsidRPr="00B92503" w:rsidRDefault="00256857" w:rsidP="00B92503">
      <w:pPr>
        <w:rPr>
          <w:rFonts w:cs="Arial"/>
          <w:szCs w:val="24"/>
        </w:rPr>
      </w:pPr>
    </w:p>
    <w:p w:rsidR="0004604B" w:rsidRPr="00B92503" w:rsidRDefault="0004604B" w:rsidP="00553120">
      <w:pPr>
        <w:pStyle w:val="ListParagraph"/>
      </w:pPr>
      <w:r w:rsidRPr="00B92503">
        <w:t>to extend daytime placement measures for persons with severe disabilities;</w:t>
      </w:r>
    </w:p>
    <w:p w:rsidR="0004604B" w:rsidRPr="00B92503" w:rsidRDefault="0004604B" w:rsidP="00553120">
      <w:pPr>
        <w:pStyle w:val="ListParagraph"/>
      </w:pPr>
      <w:r w:rsidRPr="00B92503">
        <w:t>to extend the offer of occupational activities for any adult person unable to provide paid work;</w:t>
      </w:r>
    </w:p>
    <w:p w:rsidR="0004604B" w:rsidRPr="00B92503" w:rsidRDefault="0004604B" w:rsidP="00553120">
      <w:pPr>
        <w:pStyle w:val="ListParagraph"/>
      </w:pPr>
      <w:r w:rsidRPr="00B92503">
        <w:t>to extend the offer of leisure activities outside school hours for any child in home care;</w:t>
      </w:r>
    </w:p>
    <w:p w:rsidR="0004604B" w:rsidRPr="00B92503" w:rsidRDefault="0004604B" w:rsidP="00553120">
      <w:pPr>
        <w:pStyle w:val="ListParagraph"/>
      </w:pPr>
      <w:r w:rsidRPr="00B92503">
        <w:t xml:space="preserve">to provide </w:t>
      </w:r>
      <w:proofErr w:type="gramStart"/>
      <w:r w:rsidRPr="00B92503">
        <w:t>a sufficient number of</w:t>
      </w:r>
      <w:proofErr w:type="gramEnd"/>
      <w:r w:rsidRPr="00B92503">
        <w:t xml:space="preserve"> temporary or emergency beds in the various regions of the country</w:t>
      </w:r>
      <w:r w:rsidR="00553120">
        <w:t>;</w:t>
      </w:r>
    </w:p>
    <w:p w:rsidR="0004604B" w:rsidRPr="00B92503" w:rsidRDefault="0004604B" w:rsidP="00553120">
      <w:pPr>
        <w:pStyle w:val="ListParagraph"/>
      </w:pPr>
      <w:r w:rsidRPr="00B92503">
        <w:t xml:space="preserve">to create home support and assistance services that </w:t>
      </w:r>
      <w:proofErr w:type="gramStart"/>
      <w:r w:rsidRPr="00B92503">
        <w:t>take into account</w:t>
      </w:r>
      <w:proofErr w:type="gramEnd"/>
      <w:r w:rsidRPr="00B92503">
        <w:t xml:space="preserve"> the needs of people with disabilities</w:t>
      </w:r>
      <w:r w:rsidR="00F71523" w:rsidRPr="00B92503">
        <w:t>.</w:t>
      </w:r>
    </w:p>
    <w:p w:rsidR="0004604B" w:rsidRPr="00B92503" w:rsidRDefault="0004604B" w:rsidP="00B92503">
      <w:pPr>
        <w:rPr>
          <w:rFonts w:cs="Arial"/>
          <w:szCs w:val="24"/>
        </w:rPr>
      </w:pPr>
      <w:proofErr w:type="gramStart"/>
      <w:r w:rsidRPr="00B92503">
        <w:rPr>
          <w:rFonts w:cs="Arial"/>
          <w:szCs w:val="24"/>
        </w:rPr>
        <w:lastRenderedPageBreak/>
        <w:t>With regard to</w:t>
      </w:r>
      <w:proofErr w:type="gramEnd"/>
      <w:r w:rsidRPr="00B92503">
        <w:rPr>
          <w:rFonts w:cs="Arial"/>
          <w:szCs w:val="24"/>
        </w:rPr>
        <w:t xml:space="preserve"> the accommodation of the person with a disability in ordinary housing, various measures are provided by the government to enable the person with disabilities to lead a relatively independent life.</w:t>
      </w:r>
    </w:p>
    <w:p w:rsidR="000C534D" w:rsidRPr="00B92503" w:rsidRDefault="000C534D" w:rsidP="00B92503">
      <w:pPr>
        <w:rPr>
          <w:rFonts w:cs="Arial"/>
          <w:szCs w:val="24"/>
        </w:rPr>
      </w:pPr>
    </w:p>
    <w:p w:rsidR="00C10F5C" w:rsidRPr="00B92503" w:rsidRDefault="0004604B" w:rsidP="00B92503">
      <w:pPr>
        <w:rPr>
          <w:rFonts w:cs="Arial"/>
          <w:szCs w:val="24"/>
        </w:rPr>
      </w:pPr>
      <w:r w:rsidRPr="00B92503">
        <w:rPr>
          <w:rFonts w:cs="Arial"/>
          <w:szCs w:val="24"/>
        </w:rPr>
        <w:t>Thus</w:t>
      </w:r>
      <w:r w:rsidR="000D0AA9" w:rsidRPr="00B92503">
        <w:rPr>
          <w:rFonts w:cs="Arial"/>
          <w:szCs w:val="24"/>
        </w:rPr>
        <w:t>,</w:t>
      </w:r>
      <w:r w:rsidRPr="00B92503">
        <w:rPr>
          <w:rFonts w:cs="Arial"/>
          <w:szCs w:val="24"/>
        </w:rPr>
        <w:t xml:space="preserve"> the Ministry of Housing</w:t>
      </w:r>
      <w:r w:rsidR="009422F0" w:rsidRPr="00B92503">
        <w:rPr>
          <w:rStyle w:val="FootnoteReference"/>
          <w:rFonts w:cs="Arial"/>
          <w:sz w:val="24"/>
          <w:szCs w:val="24"/>
        </w:rPr>
        <w:footnoteReference w:id="53"/>
      </w:r>
      <w:r w:rsidRPr="00B92503">
        <w:rPr>
          <w:rFonts w:cs="Arial"/>
          <w:szCs w:val="24"/>
        </w:rPr>
        <w:t xml:space="preserve"> grants financial assistance (allowance for accommodating the needs of people with physical disabilities) to people with disabilities. </w:t>
      </w:r>
      <w:r w:rsidR="00CD6792" w:rsidRPr="00B92503">
        <w:rPr>
          <w:rFonts w:cs="Arial"/>
          <w:szCs w:val="24"/>
        </w:rPr>
        <w:t>This aid is intended to finance certain special housing facilities which are necessary, inter alia, for wheelchair users.</w:t>
      </w:r>
    </w:p>
    <w:p w:rsidR="000C534D" w:rsidRPr="00B92503" w:rsidRDefault="000C534D" w:rsidP="00B92503">
      <w:pPr>
        <w:rPr>
          <w:rFonts w:cs="Arial"/>
          <w:szCs w:val="24"/>
        </w:rPr>
      </w:pPr>
    </w:p>
    <w:p w:rsidR="0046280A" w:rsidRPr="00B92503" w:rsidRDefault="0046280A" w:rsidP="00B92503">
      <w:pPr>
        <w:rPr>
          <w:rFonts w:cs="Arial"/>
          <w:szCs w:val="24"/>
        </w:rPr>
      </w:pPr>
      <w:r w:rsidRPr="00B92503">
        <w:rPr>
          <w:rFonts w:cs="Arial"/>
          <w:szCs w:val="24"/>
        </w:rPr>
        <w:t xml:space="preserve">In the framework of deinstitutionalisation in the field of mental illness, the Report </w:t>
      </w:r>
      <w:r w:rsidR="00DB537F" w:rsidRPr="00B92503">
        <w:rPr>
          <w:rFonts w:cs="Arial"/>
          <w:szCs w:val="24"/>
        </w:rPr>
        <w:t xml:space="preserve">of </w:t>
      </w:r>
      <w:proofErr w:type="spellStart"/>
      <w:r w:rsidR="00DB537F" w:rsidRPr="00B92503">
        <w:rPr>
          <w:rFonts w:cs="Arial"/>
          <w:szCs w:val="24"/>
        </w:rPr>
        <w:t>Louazel</w:t>
      </w:r>
      <w:proofErr w:type="spellEnd"/>
      <w:r w:rsidR="00DB537F" w:rsidRPr="00B92503">
        <w:rPr>
          <w:rFonts w:cs="Arial"/>
          <w:szCs w:val="24"/>
        </w:rPr>
        <w:t xml:space="preserve"> &amp; Lair (2013)</w:t>
      </w:r>
      <w:r w:rsidR="00DB537F" w:rsidRPr="00B92503">
        <w:rPr>
          <w:rStyle w:val="FootnoteReference"/>
          <w:rFonts w:cs="Arial"/>
          <w:sz w:val="24"/>
          <w:szCs w:val="24"/>
        </w:rPr>
        <w:footnoteReference w:id="54"/>
      </w:r>
      <w:r w:rsidR="00DB537F" w:rsidRPr="00B92503">
        <w:rPr>
          <w:rFonts w:cs="Arial"/>
          <w:szCs w:val="24"/>
        </w:rPr>
        <w:t xml:space="preserve"> </w:t>
      </w:r>
      <w:r w:rsidR="009422F0" w:rsidRPr="00B92503">
        <w:rPr>
          <w:rFonts w:cs="Arial"/>
          <w:szCs w:val="24"/>
        </w:rPr>
        <w:t>emphasise that the ministry of health (</w:t>
      </w:r>
      <w:proofErr w:type="spellStart"/>
      <w:r w:rsidR="009422F0" w:rsidRPr="00B92503">
        <w:rPr>
          <w:rFonts w:cs="Arial"/>
          <w:szCs w:val="24"/>
        </w:rPr>
        <w:t>Ministère</w:t>
      </w:r>
      <w:proofErr w:type="spellEnd"/>
      <w:r w:rsidR="009422F0" w:rsidRPr="00B92503">
        <w:rPr>
          <w:rFonts w:cs="Arial"/>
          <w:szCs w:val="24"/>
        </w:rPr>
        <w:t xml:space="preserve"> de la Santé) finances </w:t>
      </w:r>
      <w:r w:rsidR="00E1309A" w:rsidRPr="00B92503">
        <w:rPr>
          <w:rFonts w:cs="Arial"/>
          <w:szCs w:val="24"/>
        </w:rPr>
        <w:t xml:space="preserve">four </w:t>
      </w:r>
      <w:r w:rsidR="00F43011" w:rsidRPr="00B92503">
        <w:rPr>
          <w:rFonts w:cs="Arial"/>
          <w:szCs w:val="24"/>
        </w:rPr>
        <w:t>outpatient</w:t>
      </w:r>
      <w:r w:rsidR="00DB537F" w:rsidRPr="00B92503">
        <w:rPr>
          <w:rFonts w:cs="Arial"/>
          <w:szCs w:val="24"/>
        </w:rPr>
        <w:t xml:space="preserve"> services, each including consultation services with psychiatrists, psychologists, occupational therapists, social workers, nurses and/or educators and a day centre (with therapeutic activities) </w:t>
      </w:r>
      <w:r w:rsidR="009422F0" w:rsidRPr="00B92503">
        <w:rPr>
          <w:rFonts w:cs="Arial"/>
          <w:szCs w:val="24"/>
        </w:rPr>
        <w:t>for persons with psychological and psychiatric disorders.</w:t>
      </w:r>
      <w:r w:rsidR="00F43011" w:rsidRPr="00B92503">
        <w:rPr>
          <w:rFonts w:cs="Arial"/>
          <w:szCs w:val="24"/>
        </w:rPr>
        <w:t xml:space="preserve"> Each service has a residential facility, with a total of 220 beds for the whole country.</w:t>
      </w:r>
    </w:p>
    <w:p w:rsidR="000C4264" w:rsidRPr="00B92503" w:rsidRDefault="000C4264" w:rsidP="00B92503">
      <w:pPr>
        <w:pStyle w:val="BodyText"/>
        <w:ind w:left="221" w:right="349"/>
      </w:pPr>
    </w:p>
    <w:p w:rsidR="000C4264" w:rsidRPr="00B92503" w:rsidRDefault="0019427C" w:rsidP="00553120">
      <w:r w:rsidRPr="00B92503">
        <w:t xml:space="preserve">The national Action plan </w:t>
      </w:r>
      <w:r w:rsidR="000C4264" w:rsidRPr="00B92503">
        <w:t>on the UNCRPD</w:t>
      </w:r>
      <w:r w:rsidR="00E1309A" w:rsidRPr="00B92503">
        <w:t xml:space="preserve"> </w:t>
      </w:r>
      <w:r w:rsidRPr="00B92503">
        <w:t>(2012)</w:t>
      </w:r>
      <w:r w:rsidR="00E1309A" w:rsidRPr="00B92503">
        <w:rPr>
          <w:position w:val="7"/>
        </w:rPr>
        <w:t xml:space="preserve"> </w:t>
      </w:r>
      <w:r w:rsidR="00E1309A" w:rsidRPr="00B92503">
        <w:t>mention</w:t>
      </w:r>
      <w:r w:rsidR="000C4264" w:rsidRPr="00B92503">
        <w:t>s</w:t>
      </w:r>
      <w:r w:rsidRPr="00B92503">
        <w:t xml:space="preserve"> some aspects of independent living</w:t>
      </w:r>
      <w:r w:rsidR="000C4264" w:rsidRPr="00B92503">
        <w:t>. For example,</w:t>
      </w:r>
      <w:r w:rsidR="000C141B" w:rsidRPr="00B92503">
        <w:t xml:space="preserve"> </w:t>
      </w:r>
      <w:r w:rsidRPr="00B92503">
        <w:t xml:space="preserve">Inclusion requires infrastructures that respect the principle of "design for all". The aim is to make accessibility a standard in all areas of life in the long term. </w:t>
      </w:r>
      <w:r w:rsidR="00852191" w:rsidRPr="00B92503">
        <w:t>The area of application of the "Accessibility" Act should also be extended to the private sector. In addition, the legal scope of application will be extended to residential construction. Accessibility standards should apply primarily to new buildings and, as far as possible, to the existing building environment. In principle, no exceptions may be made for new buildings.</w:t>
      </w:r>
      <w:r w:rsidR="00F63B27" w:rsidRPr="00B92503">
        <w:t xml:space="preserve"> </w:t>
      </w:r>
    </w:p>
    <w:p w:rsidR="000C4264" w:rsidRPr="00B92503" w:rsidRDefault="000C4264" w:rsidP="00B92503">
      <w:pPr>
        <w:pStyle w:val="BodyText"/>
        <w:ind w:left="221" w:right="361"/>
      </w:pPr>
    </w:p>
    <w:p w:rsidR="00060EA2" w:rsidRPr="00B92503" w:rsidRDefault="00F63B27" w:rsidP="00B92503">
      <w:pPr>
        <w:rPr>
          <w:rFonts w:cs="Arial"/>
          <w:szCs w:val="24"/>
        </w:rPr>
      </w:pPr>
      <w:proofErr w:type="gramStart"/>
      <w:r w:rsidRPr="00B92503">
        <w:rPr>
          <w:rFonts w:cs="Arial"/>
          <w:szCs w:val="24"/>
        </w:rPr>
        <w:t>With regard to</w:t>
      </w:r>
      <w:proofErr w:type="gramEnd"/>
      <w:r w:rsidRPr="00B92503">
        <w:rPr>
          <w:rFonts w:cs="Arial"/>
          <w:szCs w:val="24"/>
        </w:rPr>
        <w:t xml:space="preserve"> independent living, the fi</w:t>
      </w:r>
      <w:r w:rsidR="00F05C55" w:rsidRPr="00B92503">
        <w:rPr>
          <w:rFonts w:cs="Arial"/>
          <w:szCs w:val="24"/>
        </w:rPr>
        <w:t>r</w:t>
      </w:r>
      <w:r w:rsidRPr="00B92503">
        <w:rPr>
          <w:rFonts w:cs="Arial"/>
          <w:szCs w:val="24"/>
        </w:rPr>
        <w:t xml:space="preserve">st national action plan emphasis the important role of long-term care insurance in day-to-day assistance for people with disabilities and support services, e.g. in the </w:t>
      </w:r>
      <w:r w:rsidR="0077174C" w:rsidRPr="00B92503">
        <w:rPr>
          <w:rFonts w:cs="Arial"/>
          <w:szCs w:val="24"/>
        </w:rPr>
        <w:t xml:space="preserve">field </w:t>
      </w:r>
      <w:r w:rsidRPr="00B92503">
        <w:rPr>
          <w:rFonts w:cs="Arial"/>
          <w:szCs w:val="24"/>
        </w:rPr>
        <w:t xml:space="preserve">of personal counselling and support, in semi-autonomous </w:t>
      </w:r>
      <w:r w:rsidR="0077174C" w:rsidRPr="00B92503">
        <w:rPr>
          <w:rFonts w:cs="Arial"/>
          <w:szCs w:val="24"/>
        </w:rPr>
        <w:t>settings</w:t>
      </w:r>
      <w:r w:rsidRPr="00B92503">
        <w:rPr>
          <w:rFonts w:cs="Arial"/>
          <w:szCs w:val="24"/>
        </w:rPr>
        <w:t xml:space="preserve">. This is followed by an equally indefinite declaration of intent aimed at ensuring that everyone receives the necessary </w:t>
      </w:r>
      <w:r w:rsidR="00E1309A" w:rsidRPr="00B92503">
        <w:rPr>
          <w:rFonts w:cs="Arial"/>
          <w:szCs w:val="24"/>
        </w:rPr>
        <w:t>assistan</w:t>
      </w:r>
      <w:r w:rsidR="00F43011" w:rsidRPr="00B92503">
        <w:rPr>
          <w:rFonts w:cs="Arial"/>
          <w:szCs w:val="24"/>
        </w:rPr>
        <w:t xml:space="preserve">ce and support </w:t>
      </w:r>
      <w:r w:rsidRPr="00B92503">
        <w:rPr>
          <w:rFonts w:cs="Arial"/>
          <w:szCs w:val="24"/>
        </w:rPr>
        <w:t xml:space="preserve">to realise his or her personal life plan. Barriers should be removed as early as possible. </w:t>
      </w:r>
    </w:p>
    <w:p w:rsidR="000C4264" w:rsidRPr="00B92503" w:rsidRDefault="000C4264" w:rsidP="00B92503">
      <w:pPr>
        <w:pStyle w:val="BodyText"/>
        <w:ind w:left="221" w:right="361"/>
      </w:pPr>
    </w:p>
    <w:p w:rsidR="0046280A" w:rsidRPr="00B92503" w:rsidRDefault="00F63B27" w:rsidP="00B92503">
      <w:pPr>
        <w:rPr>
          <w:rFonts w:cs="Arial"/>
          <w:szCs w:val="24"/>
        </w:rPr>
      </w:pPr>
      <w:r w:rsidRPr="00B92503">
        <w:rPr>
          <w:rFonts w:cs="Arial"/>
          <w:szCs w:val="24"/>
        </w:rPr>
        <w:t xml:space="preserve">In </w:t>
      </w:r>
      <w:r w:rsidR="001D3F41" w:rsidRPr="00B92503">
        <w:rPr>
          <w:rFonts w:cs="Arial"/>
          <w:szCs w:val="24"/>
        </w:rPr>
        <w:t>addition,</w:t>
      </w:r>
      <w:r w:rsidRPr="00B92503">
        <w:rPr>
          <w:rFonts w:cs="Arial"/>
          <w:szCs w:val="24"/>
        </w:rPr>
        <w:t xml:space="preserve"> the action plan highlights the imperative </w:t>
      </w:r>
      <w:r w:rsidRPr="00B92503">
        <w:rPr>
          <w:rFonts w:cs="Arial"/>
          <w:spacing w:val="-3"/>
          <w:szCs w:val="24"/>
        </w:rPr>
        <w:t xml:space="preserve">to </w:t>
      </w:r>
      <w:r w:rsidRPr="00B92503">
        <w:rPr>
          <w:rFonts w:cs="Arial"/>
          <w:szCs w:val="24"/>
        </w:rPr>
        <w:t xml:space="preserve">enable people with disabilities to decide how, where and with whom they would like to live, with the greatest possible autonomy, self-determination and personal responsibility, alternative housing options must be developed. Adequate offers of support and care in various forms in smaller housing units are needed. However, the report does not comment on what </w:t>
      </w:r>
      <w:r w:rsidR="006D670A" w:rsidRPr="00B92503">
        <w:rPr>
          <w:rFonts w:cs="Arial"/>
          <w:szCs w:val="24"/>
        </w:rPr>
        <w:t xml:space="preserve">will be the </w:t>
      </w:r>
      <w:r w:rsidRPr="00B92503">
        <w:rPr>
          <w:rFonts w:cs="Arial"/>
          <w:szCs w:val="24"/>
        </w:rPr>
        <w:t xml:space="preserve">role </w:t>
      </w:r>
      <w:r w:rsidR="006D670A" w:rsidRPr="00B92503">
        <w:rPr>
          <w:rFonts w:cs="Arial"/>
          <w:szCs w:val="24"/>
        </w:rPr>
        <w:t xml:space="preserve">of </w:t>
      </w:r>
      <w:r w:rsidRPr="00B92503">
        <w:rPr>
          <w:rFonts w:cs="Arial"/>
          <w:szCs w:val="24"/>
        </w:rPr>
        <w:t xml:space="preserve">the state or </w:t>
      </w:r>
      <w:r w:rsidR="00633F05" w:rsidRPr="00B92503">
        <w:rPr>
          <w:rFonts w:cs="Arial"/>
          <w:szCs w:val="24"/>
        </w:rPr>
        <w:t xml:space="preserve">what will be the </w:t>
      </w:r>
      <w:r w:rsidRPr="00B92503">
        <w:rPr>
          <w:rFonts w:cs="Arial"/>
          <w:szCs w:val="24"/>
        </w:rPr>
        <w:t xml:space="preserve">public policy </w:t>
      </w:r>
      <w:r w:rsidR="00633F05" w:rsidRPr="00B92503">
        <w:rPr>
          <w:rFonts w:cs="Arial"/>
          <w:szCs w:val="24"/>
        </w:rPr>
        <w:t xml:space="preserve">and what the government </w:t>
      </w:r>
      <w:r w:rsidRPr="00B92503">
        <w:rPr>
          <w:rFonts w:cs="Arial"/>
          <w:szCs w:val="24"/>
        </w:rPr>
        <w:t>is willing to perform here.</w:t>
      </w:r>
      <w:r w:rsidR="006813C6" w:rsidRPr="00B92503">
        <w:rPr>
          <w:rFonts w:cs="Arial"/>
          <w:szCs w:val="24"/>
        </w:rPr>
        <w:t xml:space="preserve"> Also</w:t>
      </w:r>
      <w:r w:rsidR="00060EA2" w:rsidRPr="00B92503">
        <w:rPr>
          <w:rFonts w:cs="Arial"/>
          <w:szCs w:val="24"/>
        </w:rPr>
        <w:t>,</w:t>
      </w:r>
      <w:r w:rsidR="006813C6" w:rsidRPr="00B92503">
        <w:rPr>
          <w:rFonts w:cs="Arial"/>
          <w:szCs w:val="24"/>
        </w:rPr>
        <w:t xml:space="preserve"> the first national implementation report stat</w:t>
      </w:r>
      <w:r w:rsidR="00BE4B6A" w:rsidRPr="00B92503">
        <w:rPr>
          <w:rFonts w:cs="Arial"/>
          <w:szCs w:val="24"/>
        </w:rPr>
        <w:t>e</w:t>
      </w:r>
      <w:r w:rsidR="006813C6" w:rsidRPr="00B92503">
        <w:rPr>
          <w:rFonts w:cs="Arial"/>
          <w:szCs w:val="24"/>
        </w:rPr>
        <w:t xml:space="preserve">s that the Ministry of Family </w:t>
      </w:r>
      <w:r w:rsidR="0077174C" w:rsidRPr="00B92503">
        <w:rPr>
          <w:rFonts w:cs="Arial"/>
          <w:szCs w:val="24"/>
        </w:rPr>
        <w:t xml:space="preserve">Affairs </w:t>
      </w:r>
      <w:r w:rsidR="006813C6" w:rsidRPr="00B92503">
        <w:rPr>
          <w:rFonts w:cs="Arial"/>
          <w:szCs w:val="24"/>
        </w:rPr>
        <w:t xml:space="preserve">has chosen to persevere on the path of inclusion and to ensure that </w:t>
      </w:r>
      <w:r w:rsidR="006813C6" w:rsidRPr="00B92503">
        <w:rPr>
          <w:rFonts w:cs="Arial"/>
          <w:szCs w:val="24"/>
        </w:rPr>
        <w:lastRenderedPageBreak/>
        <w:t>people with disabilities are not excluded from a process that affects them closely.</w:t>
      </w:r>
      <w:r w:rsidR="006C2333" w:rsidRPr="00B92503">
        <w:rPr>
          <w:rFonts w:cs="Arial"/>
          <w:szCs w:val="24"/>
        </w:rPr>
        <w:t xml:space="preserve"> A second National Action Plan is currently under development at time of writing.</w:t>
      </w:r>
      <w:r w:rsidR="00D942AD" w:rsidRPr="00B92503">
        <w:rPr>
          <w:rStyle w:val="FootnoteReference"/>
          <w:rFonts w:cs="Arial"/>
          <w:sz w:val="24"/>
          <w:szCs w:val="24"/>
        </w:rPr>
        <w:footnoteReference w:id="55"/>
      </w:r>
    </w:p>
    <w:p w:rsidR="000C4264" w:rsidRPr="00B92503" w:rsidRDefault="000C4264" w:rsidP="00B92503">
      <w:pPr>
        <w:pStyle w:val="BodyText"/>
        <w:ind w:left="221" w:right="349"/>
      </w:pPr>
    </w:p>
    <w:p w:rsidR="00F560EC" w:rsidRPr="00B92503" w:rsidRDefault="00F560EC" w:rsidP="00B92503">
      <w:pPr>
        <w:rPr>
          <w:rFonts w:cs="Arial"/>
          <w:szCs w:val="24"/>
        </w:rPr>
      </w:pPr>
      <w:r w:rsidRPr="00B92503">
        <w:rPr>
          <w:rFonts w:cs="Arial"/>
          <w:szCs w:val="24"/>
        </w:rPr>
        <w:t xml:space="preserve">The formulations of the national objectives in the context of Independent </w:t>
      </w:r>
      <w:r w:rsidR="00060EA2" w:rsidRPr="00B92503">
        <w:rPr>
          <w:rFonts w:cs="Arial"/>
          <w:szCs w:val="24"/>
        </w:rPr>
        <w:t>l</w:t>
      </w:r>
      <w:r w:rsidRPr="00B92503">
        <w:rPr>
          <w:rFonts w:cs="Arial"/>
          <w:szCs w:val="24"/>
        </w:rPr>
        <w:t>iving usually do not go beyond general objectives without mentioning defined timetables or criteria for the achievement of objectives. The self-help group “</w:t>
      </w:r>
      <w:proofErr w:type="spellStart"/>
      <w:r w:rsidRPr="00B92503">
        <w:rPr>
          <w:rFonts w:cs="Arial"/>
          <w:i/>
          <w:szCs w:val="24"/>
        </w:rPr>
        <w:t>Nëmme</w:t>
      </w:r>
      <w:proofErr w:type="spellEnd"/>
      <w:r w:rsidRPr="00B92503">
        <w:rPr>
          <w:rFonts w:cs="Arial"/>
          <w:i/>
          <w:szCs w:val="24"/>
        </w:rPr>
        <w:t xml:space="preserve"> mat </w:t>
      </w:r>
      <w:proofErr w:type="spellStart"/>
      <w:r w:rsidR="0077174C" w:rsidRPr="00B92503">
        <w:rPr>
          <w:rFonts w:cs="Arial"/>
          <w:i/>
          <w:szCs w:val="24"/>
        </w:rPr>
        <w:t>E</w:t>
      </w:r>
      <w:r w:rsidRPr="00B92503">
        <w:rPr>
          <w:rFonts w:cs="Arial"/>
          <w:i/>
          <w:szCs w:val="24"/>
        </w:rPr>
        <w:t>is</w:t>
      </w:r>
      <w:proofErr w:type="spellEnd"/>
      <w:r w:rsidRPr="00B92503">
        <w:rPr>
          <w:rFonts w:cs="Arial"/>
          <w:szCs w:val="24"/>
        </w:rPr>
        <w:t>”</w:t>
      </w:r>
      <w:r w:rsidRPr="00B92503">
        <w:rPr>
          <w:rStyle w:val="FootnoteReference"/>
          <w:rFonts w:cs="Arial"/>
          <w:sz w:val="24"/>
          <w:szCs w:val="24"/>
        </w:rPr>
        <w:footnoteReference w:id="56"/>
      </w:r>
      <w:r w:rsidRPr="00B92503">
        <w:rPr>
          <w:rFonts w:cs="Arial"/>
          <w:szCs w:val="24"/>
        </w:rPr>
        <w:t xml:space="preserve"> criticises that measures discussed before, such as individualised assistance, were not included and that the wording of many of the measures and objectives was kept rather vague. For example, it was unclear what a "</w:t>
      </w:r>
      <w:r w:rsidRPr="00B92503">
        <w:rPr>
          <w:rFonts w:cs="Arial"/>
          <w:i/>
          <w:szCs w:val="24"/>
        </w:rPr>
        <w:t>continuous</w:t>
      </w:r>
      <w:r w:rsidRPr="00B92503">
        <w:rPr>
          <w:rFonts w:cs="Arial"/>
          <w:szCs w:val="24"/>
        </w:rPr>
        <w:t>" period would mean for the commitment.</w:t>
      </w:r>
    </w:p>
    <w:p w:rsidR="00965216" w:rsidRPr="00B92503" w:rsidRDefault="00965216" w:rsidP="00B92503">
      <w:pPr>
        <w:pStyle w:val="BodyText"/>
        <w:ind w:left="221" w:right="350"/>
      </w:pPr>
    </w:p>
    <w:p w:rsidR="00F05C55" w:rsidRPr="00B92503" w:rsidRDefault="007624CF" w:rsidP="00B92503">
      <w:pPr>
        <w:rPr>
          <w:rFonts w:cs="Arial"/>
          <w:szCs w:val="24"/>
        </w:rPr>
      </w:pPr>
      <w:r w:rsidRPr="00B92503">
        <w:rPr>
          <w:rFonts w:cs="Arial"/>
          <w:szCs w:val="24"/>
        </w:rPr>
        <w:t xml:space="preserve">The first </w:t>
      </w:r>
      <w:r w:rsidR="00102309" w:rsidRPr="00B92503">
        <w:rPr>
          <w:rFonts w:cs="Arial"/>
          <w:szCs w:val="24"/>
        </w:rPr>
        <w:t xml:space="preserve">country </w:t>
      </w:r>
      <w:r w:rsidRPr="00B92503">
        <w:rPr>
          <w:rFonts w:cs="Arial"/>
          <w:szCs w:val="24"/>
        </w:rPr>
        <w:t>report</w:t>
      </w:r>
      <w:r w:rsidR="00BE4B6A" w:rsidRPr="00B92503">
        <w:rPr>
          <w:rFonts w:cs="Arial"/>
          <w:szCs w:val="24"/>
        </w:rPr>
        <w:t xml:space="preserve"> (2014)</w:t>
      </w:r>
      <w:r w:rsidR="00102309" w:rsidRPr="00B92503">
        <w:rPr>
          <w:rStyle w:val="FootnoteReference"/>
          <w:rFonts w:cs="Arial"/>
          <w:sz w:val="24"/>
          <w:szCs w:val="24"/>
        </w:rPr>
        <w:footnoteReference w:id="57"/>
      </w:r>
      <w:r w:rsidRPr="00B92503">
        <w:rPr>
          <w:rFonts w:cs="Arial"/>
          <w:szCs w:val="24"/>
        </w:rPr>
        <w:t xml:space="preserve"> confirms that Luxembourg government supports the objective of independent living in the community of people with disabilities through the support and assistance services introduced (point 188).</w:t>
      </w:r>
      <w:r w:rsidR="00893C38" w:rsidRPr="00B92503">
        <w:rPr>
          <w:rFonts w:cs="Arial"/>
          <w:szCs w:val="24"/>
        </w:rPr>
        <w:t xml:space="preserve"> In addition to traditional (institutional) accommodation structures and with a view to promoting the greatest possible autonomy for people with disabilities, the Ministry of Family Affairs supports the development of structures that </w:t>
      </w:r>
      <w:proofErr w:type="gramStart"/>
      <w:r w:rsidR="00893C38" w:rsidRPr="00B92503">
        <w:rPr>
          <w:rFonts w:cs="Arial"/>
          <w:szCs w:val="24"/>
        </w:rPr>
        <w:t xml:space="preserve">offer </w:t>
      </w:r>
      <w:r w:rsidR="00102309" w:rsidRPr="00B92503">
        <w:rPr>
          <w:rFonts w:cs="Arial"/>
          <w:szCs w:val="24"/>
        </w:rPr>
        <w:t>assistance</w:t>
      </w:r>
      <w:proofErr w:type="gramEnd"/>
      <w:r w:rsidR="00102309" w:rsidRPr="00B92503">
        <w:rPr>
          <w:rFonts w:cs="Arial"/>
          <w:szCs w:val="24"/>
        </w:rPr>
        <w:t xml:space="preserve"> and </w:t>
      </w:r>
      <w:r w:rsidR="00893C38" w:rsidRPr="00B92503">
        <w:rPr>
          <w:rFonts w:cs="Arial"/>
          <w:szCs w:val="24"/>
        </w:rPr>
        <w:t xml:space="preserve">support </w:t>
      </w:r>
      <w:r w:rsidR="00102309" w:rsidRPr="00B92503">
        <w:rPr>
          <w:rFonts w:cs="Arial"/>
          <w:szCs w:val="24"/>
        </w:rPr>
        <w:t xml:space="preserve">in </w:t>
      </w:r>
      <w:r w:rsidR="00893C38" w:rsidRPr="00B92503">
        <w:rPr>
          <w:rFonts w:cs="Arial"/>
          <w:szCs w:val="24"/>
        </w:rPr>
        <w:t>autonomous and semi-autonomous environments (point</w:t>
      </w:r>
      <w:r w:rsidR="00060EA2" w:rsidRPr="00B92503">
        <w:rPr>
          <w:rFonts w:cs="Arial"/>
          <w:szCs w:val="24"/>
        </w:rPr>
        <w:t xml:space="preserve"> </w:t>
      </w:r>
      <w:r w:rsidR="00893C38" w:rsidRPr="00B92503">
        <w:rPr>
          <w:rFonts w:cs="Arial"/>
          <w:szCs w:val="24"/>
        </w:rPr>
        <w:t>197).</w:t>
      </w:r>
    </w:p>
    <w:p w:rsidR="00965216" w:rsidRPr="00B92503" w:rsidRDefault="00965216" w:rsidP="00B92503">
      <w:pPr>
        <w:pStyle w:val="BodyText"/>
        <w:ind w:left="221" w:right="349"/>
      </w:pPr>
    </w:p>
    <w:p w:rsidR="009E2689" w:rsidRPr="00B92503" w:rsidRDefault="009E2689" w:rsidP="00B92503">
      <w:pPr>
        <w:rPr>
          <w:rFonts w:cs="Arial"/>
          <w:szCs w:val="24"/>
        </w:rPr>
      </w:pPr>
      <w:r w:rsidRPr="00B92503">
        <w:rPr>
          <w:rFonts w:cs="Arial"/>
          <w:szCs w:val="24"/>
        </w:rPr>
        <w:t xml:space="preserve">The </w:t>
      </w:r>
      <w:r w:rsidR="00F05C55" w:rsidRPr="00B92503">
        <w:rPr>
          <w:rFonts w:cs="Arial"/>
          <w:szCs w:val="24"/>
        </w:rPr>
        <w:t xml:space="preserve">Report on the reform of psychiatry and mental health policy in Luxembourg </w:t>
      </w:r>
      <w:r w:rsidR="00BE4B6A" w:rsidRPr="00B92503">
        <w:rPr>
          <w:rFonts w:cs="Arial"/>
          <w:szCs w:val="24"/>
        </w:rPr>
        <w:t>(</w:t>
      </w:r>
      <w:r w:rsidR="00F05C55" w:rsidRPr="00B92503">
        <w:rPr>
          <w:rFonts w:cs="Arial"/>
          <w:szCs w:val="24"/>
        </w:rPr>
        <w:t>2013</w:t>
      </w:r>
      <w:r w:rsidR="00BE4B6A" w:rsidRPr="00B92503">
        <w:rPr>
          <w:rFonts w:cs="Arial"/>
          <w:szCs w:val="24"/>
        </w:rPr>
        <w:t>)</w:t>
      </w:r>
      <w:r w:rsidR="00F05C55" w:rsidRPr="00B92503">
        <w:rPr>
          <w:rFonts w:cs="Arial"/>
          <w:szCs w:val="24"/>
        </w:rPr>
        <w:t xml:space="preserve"> (</w:t>
      </w:r>
      <w:proofErr w:type="spellStart"/>
      <w:r w:rsidR="00F05C55" w:rsidRPr="00B92503">
        <w:rPr>
          <w:rFonts w:cs="Arial"/>
          <w:i/>
          <w:szCs w:val="24"/>
        </w:rPr>
        <w:t>Réforme</w:t>
      </w:r>
      <w:proofErr w:type="spellEnd"/>
      <w:r w:rsidR="00F05C55" w:rsidRPr="00B92503">
        <w:rPr>
          <w:rFonts w:cs="Arial"/>
          <w:i/>
          <w:szCs w:val="24"/>
        </w:rPr>
        <w:t xml:space="preserve"> de la </w:t>
      </w:r>
      <w:proofErr w:type="spellStart"/>
      <w:r w:rsidR="00F05C55" w:rsidRPr="00B92503">
        <w:rPr>
          <w:rFonts w:cs="Arial"/>
          <w:i/>
          <w:szCs w:val="24"/>
        </w:rPr>
        <w:t>psychiatrie</w:t>
      </w:r>
      <w:proofErr w:type="spellEnd"/>
      <w:r w:rsidR="00F05C55" w:rsidRPr="00B92503">
        <w:rPr>
          <w:rFonts w:cs="Arial"/>
          <w:i/>
          <w:szCs w:val="24"/>
        </w:rPr>
        <w:t xml:space="preserve"> et politique de </w:t>
      </w:r>
      <w:proofErr w:type="spellStart"/>
      <w:r w:rsidR="00F05C55" w:rsidRPr="00B92503">
        <w:rPr>
          <w:rFonts w:cs="Arial"/>
          <w:i/>
          <w:szCs w:val="24"/>
        </w:rPr>
        <w:t>sante</w:t>
      </w:r>
      <w:proofErr w:type="spellEnd"/>
      <w:r w:rsidR="00F05C55" w:rsidRPr="00B92503">
        <w:rPr>
          <w:rFonts w:cs="Arial"/>
          <w:i/>
          <w:szCs w:val="24"/>
        </w:rPr>
        <w:t xml:space="preserve">́ </w:t>
      </w:r>
      <w:proofErr w:type="spellStart"/>
      <w:r w:rsidR="00F05C55" w:rsidRPr="00B92503">
        <w:rPr>
          <w:rFonts w:cs="Arial"/>
          <w:i/>
          <w:szCs w:val="24"/>
        </w:rPr>
        <w:t>mentale</w:t>
      </w:r>
      <w:proofErr w:type="spellEnd"/>
      <w:r w:rsidR="00F05C55" w:rsidRPr="00B92503">
        <w:rPr>
          <w:rFonts w:cs="Arial"/>
          <w:szCs w:val="24"/>
        </w:rPr>
        <w:t>)</w:t>
      </w:r>
      <w:r w:rsidR="00F05C55" w:rsidRPr="00B92503">
        <w:rPr>
          <w:rStyle w:val="FootnoteReference"/>
          <w:rFonts w:cs="Arial"/>
          <w:sz w:val="24"/>
          <w:szCs w:val="24"/>
        </w:rPr>
        <w:footnoteReference w:id="58"/>
      </w:r>
      <w:r w:rsidR="00F05C55" w:rsidRPr="00B92503">
        <w:rPr>
          <w:rFonts w:cs="Arial"/>
          <w:szCs w:val="24"/>
        </w:rPr>
        <w:t xml:space="preserve"> emphasises under p</w:t>
      </w:r>
      <w:r w:rsidRPr="00B92503">
        <w:rPr>
          <w:rFonts w:cs="Arial"/>
          <w:szCs w:val="24"/>
        </w:rPr>
        <w:t xml:space="preserve">roposal </w:t>
      </w:r>
      <w:r w:rsidR="00060EA2" w:rsidRPr="00B92503">
        <w:rPr>
          <w:rFonts w:cs="Arial"/>
          <w:szCs w:val="24"/>
        </w:rPr>
        <w:t>no.</w:t>
      </w:r>
      <w:r w:rsidRPr="00B92503">
        <w:rPr>
          <w:rFonts w:cs="Arial"/>
          <w:szCs w:val="24"/>
        </w:rPr>
        <w:t>5</w:t>
      </w:r>
      <w:r w:rsidR="00D3041A" w:rsidRPr="00B92503">
        <w:rPr>
          <w:rFonts w:cs="Arial"/>
          <w:szCs w:val="24"/>
        </w:rPr>
        <w:t xml:space="preserve"> that</w:t>
      </w:r>
      <w:r w:rsidRPr="00B92503">
        <w:rPr>
          <w:rFonts w:cs="Arial"/>
          <w:szCs w:val="24"/>
        </w:rPr>
        <w:t xml:space="preserve"> </w:t>
      </w:r>
      <w:r w:rsidR="00D3041A" w:rsidRPr="00B92503">
        <w:rPr>
          <w:rFonts w:cs="Arial"/>
          <w:szCs w:val="24"/>
        </w:rPr>
        <w:t>t</w:t>
      </w:r>
      <w:r w:rsidRPr="00B92503">
        <w:rPr>
          <w:rFonts w:cs="Arial"/>
          <w:szCs w:val="24"/>
        </w:rPr>
        <w:t xml:space="preserve">he national strategy should focus on three main areas: promoting mental health, preventing mental disorders and accompany the patient as much as possible in his </w:t>
      </w:r>
      <w:r w:rsidR="00D3041A" w:rsidRPr="00B92503">
        <w:rPr>
          <w:rFonts w:cs="Arial"/>
          <w:szCs w:val="24"/>
        </w:rPr>
        <w:t xml:space="preserve">or her </w:t>
      </w:r>
      <w:r w:rsidRPr="00B92503">
        <w:rPr>
          <w:rFonts w:cs="Arial"/>
          <w:szCs w:val="24"/>
        </w:rPr>
        <w:t xml:space="preserve">living environment. In view of the current situation, the focus should be on health care services at home or in the </w:t>
      </w:r>
      <w:r w:rsidR="00F05C55" w:rsidRPr="00B92503">
        <w:rPr>
          <w:rFonts w:cs="Arial"/>
          <w:szCs w:val="24"/>
        </w:rPr>
        <w:t>com</w:t>
      </w:r>
      <w:r w:rsidR="00F560EC" w:rsidRPr="00B92503">
        <w:rPr>
          <w:rFonts w:cs="Arial"/>
          <w:szCs w:val="24"/>
        </w:rPr>
        <w:t>m</w:t>
      </w:r>
      <w:r w:rsidR="00F05C55" w:rsidRPr="00B92503">
        <w:rPr>
          <w:rFonts w:cs="Arial"/>
          <w:szCs w:val="24"/>
        </w:rPr>
        <w:t>unity</w:t>
      </w:r>
      <w:r w:rsidRPr="00B92503">
        <w:rPr>
          <w:rFonts w:cs="Arial"/>
          <w:szCs w:val="24"/>
        </w:rPr>
        <w:t xml:space="preserve"> and </w:t>
      </w:r>
      <w:r w:rsidR="00D3041A" w:rsidRPr="00B92503">
        <w:rPr>
          <w:rFonts w:cs="Arial"/>
          <w:szCs w:val="24"/>
        </w:rPr>
        <w:t xml:space="preserve">on </w:t>
      </w:r>
      <w:r w:rsidRPr="00B92503">
        <w:rPr>
          <w:rFonts w:cs="Arial"/>
          <w:szCs w:val="24"/>
        </w:rPr>
        <w:t xml:space="preserve">the stability of living spaces, depending on the concept of </w:t>
      </w:r>
      <w:r w:rsidR="00D3041A" w:rsidRPr="00B92503">
        <w:rPr>
          <w:rFonts w:cs="Arial"/>
          <w:szCs w:val="24"/>
        </w:rPr>
        <w:t>“</w:t>
      </w:r>
      <w:r w:rsidRPr="00B92503">
        <w:rPr>
          <w:rFonts w:cs="Arial"/>
          <w:szCs w:val="24"/>
        </w:rPr>
        <w:t xml:space="preserve">Housing </w:t>
      </w:r>
      <w:r w:rsidR="00D3041A" w:rsidRPr="00B92503">
        <w:rPr>
          <w:rFonts w:cs="Arial"/>
          <w:szCs w:val="24"/>
        </w:rPr>
        <w:t>F</w:t>
      </w:r>
      <w:r w:rsidRPr="00B92503">
        <w:rPr>
          <w:rFonts w:cs="Arial"/>
          <w:szCs w:val="24"/>
        </w:rPr>
        <w:t>irst</w:t>
      </w:r>
      <w:r w:rsidR="00D3041A" w:rsidRPr="00B92503">
        <w:rPr>
          <w:rFonts w:cs="Arial"/>
          <w:szCs w:val="24"/>
        </w:rPr>
        <w:t>”</w:t>
      </w:r>
      <w:r w:rsidRPr="00B92503">
        <w:rPr>
          <w:rFonts w:cs="Arial"/>
          <w:szCs w:val="24"/>
        </w:rPr>
        <w:t xml:space="preserve"> in order to promote the patient's stability in his or her living environment and quality of life</w:t>
      </w:r>
      <w:r w:rsidR="004734B4" w:rsidRPr="00B92503">
        <w:rPr>
          <w:rFonts w:cs="Arial"/>
          <w:szCs w:val="24"/>
        </w:rPr>
        <w:t>, which is</w:t>
      </w:r>
      <w:r w:rsidRPr="00B92503">
        <w:rPr>
          <w:rFonts w:cs="Arial"/>
          <w:szCs w:val="24"/>
        </w:rPr>
        <w:t xml:space="preserve">: at home, with family and friends, children, at work and in leisure. The offer of home care should be sufficiently flexible, </w:t>
      </w:r>
      <w:proofErr w:type="gramStart"/>
      <w:r w:rsidRPr="00B92503">
        <w:rPr>
          <w:rFonts w:cs="Arial"/>
          <w:szCs w:val="24"/>
        </w:rPr>
        <w:t>more or less intensive</w:t>
      </w:r>
      <w:proofErr w:type="gramEnd"/>
      <w:r w:rsidRPr="00B92503">
        <w:rPr>
          <w:rFonts w:cs="Arial"/>
          <w:szCs w:val="24"/>
        </w:rPr>
        <w:t xml:space="preserve">, multidisciplinary, global according to needs, to prevent the risk of disorders and relapses. The resources deployed in the different sectors and regions must be globally rethought </w:t>
      </w:r>
      <w:proofErr w:type="gramStart"/>
      <w:r w:rsidRPr="00B92503">
        <w:rPr>
          <w:rFonts w:cs="Arial"/>
          <w:szCs w:val="24"/>
        </w:rPr>
        <w:t>on the basis of</w:t>
      </w:r>
      <w:proofErr w:type="gramEnd"/>
      <w:r w:rsidRPr="00B92503">
        <w:rPr>
          <w:rFonts w:cs="Arial"/>
          <w:szCs w:val="24"/>
        </w:rPr>
        <w:t xml:space="preserve"> a national master plan: population </w:t>
      </w:r>
      <w:r w:rsidRPr="00B92503">
        <w:rPr>
          <w:rFonts w:cs="Arial"/>
          <w:szCs w:val="24"/>
        </w:rPr>
        <w:lastRenderedPageBreak/>
        <w:t>and needs covered, number of beds, number of accommodation places, missions covered, etc. in agreement with the established strategic objectives</w:t>
      </w:r>
      <w:r w:rsidR="00060EA2" w:rsidRPr="00B92503">
        <w:rPr>
          <w:rFonts w:cs="Arial"/>
          <w:szCs w:val="24"/>
        </w:rPr>
        <w:t xml:space="preserve"> (</w:t>
      </w:r>
      <w:r w:rsidR="00F05C55" w:rsidRPr="00B92503">
        <w:rPr>
          <w:rFonts w:cs="Arial"/>
          <w:szCs w:val="24"/>
        </w:rPr>
        <w:t>FRA-Report 2017</w:t>
      </w:r>
      <w:r w:rsidR="00553120">
        <w:rPr>
          <w:rFonts w:cs="Arial"/>
          <w:szCs w:val="24"/>
        </w:rPr>
        <w:t>).</w:t>
      </w:r>
      <w:r w:rsidR="00F05C55" w:rsidRPr="00B92503">
        <w:rPr>
          <w:rStyle w:val="FootnoteReference"/>
          <w:rFonts w:cs="Arial"/>
          <w:sz w:val="24"/>
          <w:szCs w:val="24"/>
        </w:rPr>
        <w:footnoteReference w:id="59"/>
      </w:r>
    </w:p>
    <w:p w:rsidR="00965216" w:rsidRPr="00B92503" w:rsidRDefault="00965216" w:rsidP="00B92503">
      <w:pPr>
        <w:pStyle w:val="BodyText"/>
        <w:ind w:left="221" w:right="348"/>
      </w:pPr>
    </w:p>
    <w:p w:rsidR="00F560EC" w:rsidRPr="00B92503" w:rsidRDefault="00320ADC" w:rsidP="00B92503">
      <w:pPr>
        <w:rPr>
          <w:rFonts w:cs="Arial"/>
          <w:szCs w:val="24"/>
        </w:rPr>
      </w:pPr>
      <w:r w:rsidRPr="00B92503">
        <w:rPr>
          <w:rFonts w:cs="Arial"/>
          <w:szCs w:val="24"/>
        </w:rPr>
        <w:t xml:space="preserve">The coalition agreement of the new </w:t>
      </w:r>
      <w:r w:rsidR="00BE4B6A" w:rsidRPr="00B92503">
        <w:rPr>
          <w:rFonts w:cs="Arial"/>
          <w:szCs w:val="24"/>
        </w:rPr>
        <w:t>government (2018)</w:t>
      </w:r>
      <w:r w:rsidR="00553120">
        <w:rPr>
          <w:rFonts w:cs="Arial"/>
          <w:szCs w:val="24"/>
        </w:rPr>
        <w:t>,</w:t>
      </w:r>
      <w:r w:rsidR="00BE4B6A" w:rsidRPr="00B92503">
        <w:rPr>
          <w:rStyle w:val="FootnoteReference"/>
          <w:rFonts w:cs="Arial"/>
          <w:sz w:val="24"/>
          <w:szCs w:val="24"/>
        </w:rPr>
        <w:footnoteReference w:id="60"/>
      </w:r>
      <w:r w:rsidRPr="00B92503">
        <w:rPr>
          <w:rFonts w:cs="Arial"/>
          <w:szCs w:val="24"/>
        </w:rPr>
        <w:t xml:space="preserve"> </w:t>
      </w:r>
      <w:r w:rsidR="00E10403" w:rsidRPr="00B92503">
        <w:rPr>
          <w:rFonts w:cs="Arial"/>
          <w:szCs w:val="24"/>
        </w:rPr>
        <w:t xml:space="preserve">does not speak directly about </w:t>
      </w:r>
      <w:r w:rsidR="00060EA2" w:rsidRPr="00B92503">
        <w:rPr>
          <w:rFonts w:cs="Arial"/>
          <w:szCs w:val="24"/>
        </w:rPr>
        <w:t>i</w:t>
      </w:r>
      <w:r w:rsidR="00E10403" w:rsidRPr="00B92503">
        <w:rPr>
          <w:rFonts w:cs="Arial"/>
          <w:szCs w:val="24"/>
        </w:rPr>
        <w:t xml:space="preserve">ndependent </w:t>
      </w:r>
      <w:r w:rsidR="00060EA2" w:rsidRPr="00B92503">
        <w:rPr>
          <w:rFonts w:cs="Arial"/>
          <w:szCs w:val="24"/>
        </w:rPr>
        <w:t>l</w:t>
      </w:r>
      <w:r w:rsidR="00E10403" w:rsidRPr="00B92503">
        <w:rPr>
          <w:rFonts w:cs="Arial"/>
          <w:szCs w:val="24"/>
        </w:rPr>
        <w:t xml:space="preserve">iving, but some statements of intent are likely to have an impact on </w:t>
      </w:r>
      <w:r w:rsidR="00060EA2" w:rsidRPr="00B92503">
        <w:rPr>
          <w:rFonts w:cs="Arial"/>
          <w:szCs w:val="24"/>
        </w:rPr>
        <w:t>i</w:t>
      </w:r>
      <w:r w:rsidR="00E10403" w:rsidRPr="00B92503">
        <w:rPr>
          <w:rFonts w:cs="Arial"/>
          <w:szCs w:val="24"/>
        </w:rPr>
        <w:t xml:space="preserve">ndependent </w:t>
      </w:r>
      <w:r w:rsidR="00060EA2" w:rsidRPr="00B92503">
        <w:rPr>
          <w:rFonts w:cs="Arial"/>
          <w:szCs w:val="24"/>
        </w:rPr>
        <w:t>l</w:t>
      </w:r>
      <w:r w:rsidR="00E10403" w:rsidRPr="00B92503">
        <w:rPr>
          <w:rFonts w:cs="Arial"/>
          <w:szCs w:val="24"/>
        </w:rPr>
        <w:t xml:space="preserve">iving. </w:t>
      </w:r>
      <w:r w:rsidR="005D2721" w:rsidRPr="00B92503">
        <w:rPr>
          <w:rFonts w:cs="Arial"/>
          <w:szCs w:val="24"/>
        </w:rPr>
        <w:t>(see Appendix. Extracts from the 2018 coalition agreement).</w:t>
      </w:r>
      <w:r w:rsidR="005D6476" w:rsidRPr="00B92503">
        <w:rPr>
          <w:rFonts w:cs="Arial"/>
          <w:szCs w:val="24"/>
        </w:rPr>
        <w:t xml:space="preserve"> </w:t>
      </w:r>
      <w:r w:rsidR="004734B4" w:rsidRPr="00B92503">
        <w:rPr>
          <w:rFonts w:cs="Arial"/>
          <w:szCs w:val="24"/>
        </w:rPr>
        <w:t>The coalition</w:t>
      </w:r>
      <w:r w:rsidR="005D6476" w:rsidRPr="00B92503">
        <w:rPr>
          <w:rFonts w:cs="Arial"/>
          <w:szCs w:val="24"/>
        </w:rPr>
        <w:t xml:space="preserve"> agreement</w:t>
      </w:r>
      <w:r w:rsidR="004734B4" w:rsidRPr="00B92503">
        <w:rPr>
          <w:rFonts w:cs="Arial"/>
          <w:szCs w:val="24"/>
        </w:rPr>
        <w:t xml:space="preserve"> indicates </w:t>
      </w:r>
      <w:r w:rsidR="0087789D" w:rsidRPr="00B92503">
        <w:rPr>
          <w:rFonts w:cs="Arial"/>
          <w:szCs w:val="24"/>
        </w:rPr>
        <w:t>no data about completion dates for the development of alternative accommodations and services.</w:t>
      </w:r>
    </w:p>
    <w:p w:rsidR="00AA6557" w:rsidRPr="00B92503" w:rsidRDefault="00AA6557" w:rsidP="00B92503">
      <w:pPr>
        <w:rPr>
          <w:rFonts w:cs="Arial"/>
          <w:szCs w:val="24"/>
        </w:rPr>
      </w:pPr>
    </w:p>
    <w:p w:rsidR="00647DE8" w:rsidRPr="00B92503" w:rsidRDefault="00ED6A9A" w:rsidP="00B92503">
      <w:pPr>
        <w:pStyle w:val="Heading2"/>
        <w:rPr>
          <w:rFonts w:cs="Arial"/>
          <w:szCs w:val="24"/>
        </w:rPr>
      </w:pPr>
      <w:bookmarkStart w:id="22" w:name="_TOC_250026"/>
      <w:bookmarkStart w:id="23" w:name="_Toc529874061"/>
      <w:bookmarkStart w:id="24" w:name="_Toc7612957"/>
      <w:r w:rsidRPr="00B92503">
        <w:rPr>
          <w:rFonts w:cs="Arial"/>
          <w:szCs w:val="24"/>
        </w:rPr>
        <w:t>What are the a</w:t>
      </w:r>
      <w:r w:rsidR="008E4ACD" w:rsidRPr="00B92503">
        <w:rPr>
          <w:rFonts w:cs="Arial"/>
          <w:szCs w:val="24"/>
        </w:rPr>
        <w:t>ims and objective</w:t>
      </w:r>
      <w:r w:rsidR="00647DE8" w:rsidRPr="00B92503">
        <w:rPr>
          <w:rFonts w:cs="Arial"/>
          <w:szCs w:val="24"/>
        </w:rPr>
        <w:t>s of relevant strategie</w:t>
      </w:r>
      <w:r w:rsidR="006E7253" w:rsidRPr="00B92503">
        <w:rPr>
          <w:rFonts w:cs="Arial"/>
          <w:szCs w:val="24"/>
        </w:rPr>
        <w:t>s, including relevant targets and milestones?</w:t>
      </w:r>
      <w:r w:rsidR="00A76625" w:rsidRPr="00B92503">
        <w:rPr>
          <w:rFonts w:cs="Arial"/>
          <w:szCs w:val="24"/>
        </w:rPr>
        <w:t xml:space="preserve"> Are they linked to </w:t>
      </w:r>
      <w:bookmarkEnd w:id="22"/>
      <w:r w:rsidR="00A76625" w:rsidRPr="00B92503">
        <w:rPr>
          <w:rFonts w:cs="Arial"/>
          <w:szCs w:val="24"/>
        </w:rPr>
        <w:t>ESIF?</w:t>
      </w:r>
      <w:bookmarkEnd w:id="23"/>
      <w:bookmarkEnd w:id="24"/>
    </w:p>
    <w:p w:rsidR="00577E3C" w:rsidRPr="00B92503" w:rsidRDefault="00577E3C" w:rsidP="00B92503">
      <w:pPr>
        <w:rPr>
          <w:rFonts w:cs="Arial"/>
          <w:szCs w:val="24"/>
        </w:rPr>
      </w:pPr>
    </w:p>
    <w:p w:rsidR="00E10403" w:rsidRPr="00B92503" w:rsidRDefault="00E10403" w:rsidP="00B92503">
      <w:pPr>
        <w:rPr>
          <w:rFonts w:cs="Arial"/>
          <w:szCs w:val="24"/>
        </w:rPr>
      </w:pPr>
      <w:r w:rsidRPr="00B92503">
        <w:rPr>
          <w:rFonts w:cs="Arial"/>
          <w:szCs w:val="24"/>
        </w:rPr>
        <w:t xml:space="preserve">There is no government declaration dedicated solely to </w:t>
      </w:r>
      <w:r w:rsidR="00F81A46" w:rsidRPr="00B92503">
        <w:rPr>
          <w:rFonts w:cs="Arial"/>
          <w:szCs w:val="24"/>
        </w:rPr>
        <w:t>i</w:t>
      </w:r>
      <w:r w:rsidRPr="00B92503">
        <w:rPr>
          <w:rFonts w:cs="Arial"/>
          <w:szCs w:val="24"/>
        </w:rPr>
        <w:t xml:space="preserve">ndependent </w:t>
      </w:r>
      <w:r w:rsidR="00F81A46" w:rsidRPr="00B92503">
        <w:rPr>
          <w:rFonts w:cs="Arial"/>
          <w:szCs w:val="24"/>
        </w:rPr>
        <w:t>l</w:t>
      </w:r>
      <w:r w:rsidRPr="00B92503">
        <w:rPr>
          <w:rFonts w:cs="Arial"/>
          <w:szCs w:val="24"/>
        </w:rPr>
        <w:t xml:space="preserve">iving. Only the first national </w:t>
      </w:r>
      <w:r w:rsidR="00965216" w:rsidRPr="00B92503">
        <w:rPr>
          <w:rFonts w:cs="Arial"/>
          <w:szCs w:val="24"/>
        </w:rPr>
        <w:t xml:space="preserve">UNCRPD </w:t>
      </w:r>
      <w:r w:rsidRPr="00B92503">
        <w:rPr>
          <w:rFonts w:cs="Arial"/>
          <w:szCs w:val="24"/>
        </w:rPr>
        <w:t>implementation plan</w:t>
      </w:r>
      <w:r w:rsidR="00CA5F4E" w:rsidRPr="00B92503">
        <w:rPr>
          <w:rFonts w:cs="Arial"/>
          <w:szCs w:val="24"/>
        </w:rPr>
        <w:t xml:space="preserve"> (2012)</w:t>
      </w:r>
      <w:r w:rsidR="00CA5F4E" w:rsidRPr="00B92503">
        <w:rPr>
          <w:rStyle w:val="FootnoteReference"/>
          <w:rFonts w:cs="Arial"/>
          <w:sz w:val="24"/>
          <w:szCs w:val="24"/>
        </w:rPr>
        <w:footnoteReference w:id="61"/>
      </w:r>
      <w:r w:rsidRPr="00B92503">
        <w:rPr>
          <w:rFonts w:cs="Arial"/>
          <w:szCs w:val="24"/>
        </w:rPr>
        <w:t xml:space="preserve"> can be used as an essential reference source, which identifies assessments, declarations of objectives, allocations of responsibilities and time horizons for implementation. However, the situation analyses</w:t>
      </w:r>
      <w:r w:rsidR="000C141B" w:rsidRPr="00B92503">
        <w:rPr>
          <w:rFonts w:cs="Arial"/>
          <w:szCs w:val="24"/>
        </w:rPr>
        <w:t>,</w:t>
      </w:r>
      <w:r w:rsidRPr="00B92503">
        <w:rPr>
          <w:rFonts w:cs="Arial"/>
          <w:szCs w:val="24"/>
        </w:rPr>
        <w:t xml:space="preserve"> and target formulations are kept in a very non-binding and very general form, so that hardly any concrete information can be derived here, which also applies to the assigned measures. Particularly on de</w:t>
      </w:r>
      <w:r w:rsidR="00333285" w:rsidRPr="00B92503">
        <w:rPr>
          <w:rFonts w:cs="Arial"/>
          <w:szCs w:val="24"/>
        </w:rPr>
        <w:t>-</w:t>
      </w:r>
      <w:r w:rsidRPr="00B92503">
        <w:rPr>
          <w:rFonts w:cs="Arial"/>
          <w:szCs w:val="24"/>
        </w:rPr>
        <w:t>institutionalisation and independent living, neither figures nor deadlines are given</w:t>
      </w:r>
      <w:r w:rsidR="000C6E31" w:rsidRPr="00B92503">
        <w:rPr>
          <w:rFonts w:cs="Arial"/>
          <w:szCs w:val="24"/>
        </w:rPr>
        <w:t xml:space="preserve"> in </w:t>
      </w:r>
      <w:r w:rsidR="009B7DFC" w:rsidRPr="00B92503">
        <w:rPr>
          <w:rFonts w:cs="Arial"/>
          <w:szCs w:val="24"/>
        </w:rPr>
        <w:t>recent declarations</w:t>
      </w:r>
      <w:r w:rsidRPr="00B92503">
        <w:rPr>
          <w:rFonts w:cs="Arial"/>
          <w:szCs w:val="24"/>
        </w:rPr>
        <w:t xml:space="preserve">. </w:t>
      </w:r>
    </w:p>
    <w:p w:rsidR="00965216" w:rsidRPr="00B92503" w:rsidRDefault="00965216" w:rsidP="00B92503">
      <w:pPr>
        <w:pStyle w:val="BodyText"/>
        <w:ind w:left="221" w:right="349"/>
      </w:pPr>
    </w:p>
    <w:p w:rsidR="009A32D8" w:rsidRPr="00B92503" w:rsidRDefault="00E10403" w:rsidP="00B92503">
      <w:pPr>
        <w:rPr>
          <w:rFonts w:cs="Arial"/>
          <w:szCs w:val="24"/>
        </w:rPr>
      </w:pPr>
      <w:r w:rsidRPr="00B92503">
        <w:rPr>
          <w:rFonts w:cs="Arial"/>
          <w:szCs w:val="24"/>
        </w:rPr>
        <w:t xml:space="preserve">The following overview emphasises some of the points related to independent living. </w:t>
      </w:r>
      <w:r w:rsidR="009A32D8" w:rsidRPr="00B92503">
        <w:rPr>
          <w:rFonts w:cs="Arial"/>
          <w:szCs w:val="24"/>
        </w:rPr>
        <w:t>in the national action plan 2012:</w:t>
      </w:r>
    </w:p>
    <w:p w:rsidR="00577E3C" w:rsidRPr="00B92503" w:rsidRDefault="00577E3C" w:rsidP="00B92503">
      <w:pPr>
        <w:rPr>
          <w:rFonts w:cs="Arial"/>
          <w:szCs w:val="24"/>
        </w:rPr>
      </w:pPr>
    </w:p>
    <w:p w:rsidR="009A32D8" w:rsidRDefault="009A32D8" w:rsidP="00553120">
      <w:pPr>
        <w:pStyle w:val="ListParagraph"/>
      </w:pPr>
      <w:r w:rsidRPr="00B92503">
        <w:t xml:space="preserve">The aim is to raise awareness of the situation and needs of disabled people. </w:t>
      </w:r>
      <w:proofErr w:type="gramStart"/>
      <w:r w:rsidRPr="00B92503">
        <w:t>Sufficient</w:t>
      </w:r>
      <w:proofErr w:type="gramEnd"/>
      <w:r w:rsidRPr="00B92503">
        <w:t xml:space="preserve"> awareness of all those involved, in all sections of society, e.g. through national campaigns, should lead in the long term to an inclusive society in which people with disabilities can exercise their rights on an equal footing with all others. These include the introduction of a competence centre for easy language and the recognition of sign language. For these two </w:t>
      </w:r>
      <w:r w:rsidR="007D2197" w:rsidRPr="00B92503">
        <w:t>topics</w:t>
      </w:r>
      <w:r w:rsidRPr="00B92503">
        <w:t xml:space="preserve">, </w:t>
      </w:r>
      <w:r w:rsidR="009B7DFC" w:rsidRPr="00B92503">
        <w:t xml:space="preserve">deadlines refer to the year </w:t>
      </w:r>
      <w:r w:rsidR="007D2197" w:rsidRPr="00B92503">
        <w:t xml:space="preserve">2012 and 2013 </w:t>
      </w:r>
      <w:r w:rsidR="009B7DFC" w:rsidRPr="00B92503">
        <w:t xml:space="preserve">in </w:t>
      </w:r>
      <w:r w:rsidRPr="00B92503">
        <w:t>achievement of the goal</w:t>
      </w:r>
      <w:r w:rsidR="007D2197" w:rsidRPr="00B92503">
        <w:t>s</w:t>
      </w:r>
      <w:r w:rsidRPr="00B92503">
        <w:t>.</w:t>
      </w:r>
    </w:p>
    <w:p w:rsidR="00553120" w:rsidRPr="00B92503" w:rsidRDefault="00553120" w:rsidP="00553120">
      <w:pPr>
        <w:ind w:left="567"/>
        <w:rPr>
          <w:rFonts w:cs="Arial"/>
          <w:szCs w:val="24"/>
        </w:rPr>
      </w:pPr>
    </w:p>
    <w:p w:rsidR="009A32D8" w:rsidRDefault="009A32D8" w:rsidP="00553120">
      <w:pPr>
        <w:pStyle w:val="ListParagraph"/>
      </w:pPr>
      <w:proofErr w:type="gramStart"/>
      <w:r w:rsidRPr="00B92503">
        <w:t>With regard to</w:t>
      </w:r>
      <w:proofErr w:type="gramEnd"/>
      <w:r w:rsidRPr="00B92503">
        <w:t xml:space="preserve"> accessibility, the aim is to ensure comprehensive accessibility as a basis for self-determination and participation of people with disabilities. This includes equal barrier-free access to all means of information and communication.</w:t>
      </w:r>
    </w:p>
    <w:p w:rsidR="00553120" w:rsidRPr="00B92503" w:rsidRDefault="00553120" w:rsidP="00553120"/>
    <w:p w:rsidR="002F36CD" w:rsidRPr="00B92503" w:rsidRDefault="002F36CD" w:rsidP="00553120">
      <w:pPr>
        <w:pStyle w:val="ListParagraph"/>
      </w:pPr>
      <w:r w:rsidRPr="00B92503">
        <w:lastRenderedPageBreak/>
        <w:t>Alarm signals of any kind should be made accessible to people</w:t>
      </w:r>
      <w:r w:rsidR="00B4587F" w:rsidRPr="00B92503">
        <w:t xml:space="preserve"> </w:t>
      </w:r>
      <w:r w:rsidRPr="00B92503">
        <w:t>with hearing impairments (e.g. by light signals, messages by SMS, FM transmitters or GPS indicating ambulances in the immediate vicinity). The target date for this is 2012.</w:t>
      </w:r>
    </w:p>
    <w:p w:rsidR="00577E3C" w:rsidRPr="00B92503" w:rsidRDefault="00577E3C" w:rsidP="00B92503">
      <w:pPr>
        <w:ind w:left="227" w:hanging="227"/>
        <w:rPr>
          <w:rFonts w:cs="Arial"/>
          <w:szCs w:val="24"/>
        </w:rPr>
      </w:pPr>
    </w:p>
    <w:p w:rsidR="002F36CD" w:rsidRPr="00B92503" w:rsidRDefault="002F36CD" w:rsidP="00553120">
      <w:pPr>
        <w:pStyle w:val="ListParagraph"/>
      </w:pPr>
      <w:r w:rsidRPr="00B92503">
        <w:t>People with disabilities should be able to maintain their income independently of social support or employment measures. Training and transition to the world of work should be tailored to each person's personal strengths and goals. Competent bodies should advise and support the persons concerned so that they can lead a self-determined life. Measures to this regard are intended for 2012 and ongoing.</w:t>
      </w:r>
    </w:p>
    <w:p w:rsidR="00577E3C" w:rsidRPr="00B92503" w:rsidRDefault="00577E3C" w:rsidP="00B92503">
      <w:pPr>
        <w:ind w:left="227" w:hanging="227"/>
        <w:rPr>
          <w:rFonts w:cs="Arial"/>
          <w:szCs w:val="24"/>
        </w:rPr>
      </w:pPr>
    </w:p>
    <w:p w:rsidR="002F36CD" w:rsidRPr="00B92503" w:rsidRDefault="002F36CD" w:rsidP="00553120">
      <w:pPr>
        <w:pStyle w:val="ListParagraph"/>
      </w:pPr>
      <w:r w:rsidRPr="00B92503">
        <w:t xml:space="preserve">The aim is to promote the mobility of people with disabilities through ensuring accessibility. It should be taken for granted that people in towns and villages </w:t>
      </w:r>
      <w:r w:rsidR="009B7DFC" w:rsidRPr="00B92503">
        <w:t xml:space="preserve">can circulate </w:t>
      </w:r>
      <w:r w:rsidRPr="00B92503">
        <w:t>barrier-free and, if possible, without an accompanying person. Accessibility should be actively promoted, and new barriers to mobility must be prevented.</w:t>
      </w:r>
    </w:p>
    <w:p w:rsidR="00577E3C" w:rsidRPr="00B92503" w:rsidRDefault="00577E3C" w:rsidP="00B92503">
      <w:pPr>
        <w:ind w:left="227" w:hanging="227"/>
        <w:rPr>
          <w:rFonts w:cs="Arial"/>
          <w:szCs w:val="24"/>
        </w:rPr>
      </w:pPr>
    </w:p>
    <w:p w:rsidR="002F36CD" w:rsidRPr="00B92503" w:rsidRDefault="002F36CD" w:rsidP="00553120">
      <w:pPr>
        <w:pStyle w:val="ListParagraph"/>
      </w:pPr>
      <w:r w:rsidRPr="00B92503">
        <w:t xml:space="preserve">Inclusion must not be limited to a specific area. Inclusion must be understood as a project for </w:t>
      </w:r>
      <w:proofErr w:type="gramStart"/>
      <w:r w:rsidRPr="00B92503">
        <w:t>society as a whole</w:t>
      </w:r>
      <w:proofErr w:type="gramEnd"/>
      <w:r w:rsidRPr="00B92503">
        <w:t>. Inclusion requires infrastructures that respect the principle of "design for all". The aim is to make accessibility a standard in all areas of life in the long run. An adaptation of the relevant Accessibility Act is planned for 2012-2014.</w:t>
      </w:r>
    </w:p>
    <w:p w:rsidR="00577E3C" w:rsidRPr="00B92503" w:rsidRDefault="00577E3C" w:rsidP="00B92503">
      <w:pPr>
        <w:ind w:left="227" w:hanging="227"/>
        <w:rPr>
          <w:rFonts w:cs="Arial"/>
          <w:szCs w:val="24"/>
        </w:rPr>
      </w:pPr>
    </w:p>
    <w:p w:rsidR="002F36CD" w:rsidRDefault="002F36CD" w:rsidP="00553120">
      <w:pPr>
        <w:pStyle w:val="ListParagraph"/>
      </w:pPr>
      <w:r w:rsidRPr="00B92503">
        <w:t>The three different measures provided by Luxembourg law on the protection of adults</w:t>
      </w:r>
      <w:r w:rsidR="009B7DFC" w:rsidRPr="00B92503">
        <w:t xml:space="preserve"> with severe disabilities (“</w:t>
      </w:r>
      <w:r w:rsidR="009B7DFC" w:rsidRPr="00B92503">
        <w:rPr>
          <w:i/>
        </w:rPr>
        <w:t xml:space="preserve">Incapables </w:t>
      </w:r>
      <w:proofErr w:type="spellStart"/>
      <w:r w:rsidR="009B7DFC" w:rsidRPr="00B92503">
        <w:rPr>
          <w:i/>
        </w:rPr>
        <w:t>majeurs</w:t>
      </w:r>
      <w:proofErr w:type="spellEnd"/>
      <w:r w:rsidR="009B7DFC" w:rsidRPr="00B92503">
        <w:t>”)</w:t>
      </w:r>
      <w:r w:rsidRPr="00B92503">
        <w:t xml:space="preserve"> merge into a single measure, the assistance. This assistance is designed in different ways according to the individual's needs and enables solutions to be tailored to the individual. There is a strict priority of assistance over care, and the proportionality of legal interventions is guaranteed by regular monitoring. Corresponding legislative changes are planned for 2012-2015.</w:t>
      </w:r>
    </w:p>
    <w:p w:rsidR="00553120" w:rsidRPr="00B92503" w:rsidRDefault="00553120" w:rsidP="00553120"/>
    <w:p w:rsidR="002F36CD" w:rsidRPr="00B92503" w:rsidRDefault="00B4587F" w:rsidP="00553120">
      <w:pPr>
        <w:pStyle w:val="ListParagraph"/>
      </w:pPr>
      <w:r w:rsidRPr="00B92503">
        <w:t xml:space="preserve">The concerns of people with disabilities are </w:t>
      </w:r>
      <w:proofErr w:type="gramStart"/>
      <w:r w:rsidRPr="00B92503">
        <w:t>taken into account</w:t>
      </w:r>
      <w:proofErr w:type="gramEnd"/>
      <w:r w:rsidRPr="00B92503">
        <w:t xml:space="preserve"> in all policy areas. Everyone receives the assistance he or she needs to realise his or her personal life plan. Barriers should be removed as early as possible. The measures provided for in this target are intended to apply between 2012 to 2015.</w:t>
      </w:r>
    </w:p>
    <w:p w:rsidR="00057F31" w:rsidRPr="00B92503" w:rsidRDefault="00057F31" w:rsidP="00B92503">
      <w:pPr>
        <w:ind w:left="227" w:hanging="227"/>
        <w:rPr>
          <w:rFonts w:cs="Arial"/>
          <w:szCs w:val="24"/>
        </w:rPr>
      </w:pPr>
    </w:p>
    <w:p w:rsidR="00B4587F" w:rsidRPr="00B92503" w:rsidRDefault="00B4587F" w:rsidP="00553120">
      <w:pPr>
        <w:pStyle w:val="ListParagraph"/>
      </w:pPr>
      <w:r w:rsidRPr="00B92503">
        <w:t>Health services for people with disabilities should be regularly evaluated and adapted to their needs. (2012-2014)</w:t>
      </w:r>
    </w:p>
    <w:p w:rsidR="00057F31" w:rsidRPr="00B92503" w:rsidRDefault="00057F31" w:rsidP="00B92503">
      <w:pPr>
        <w:ind w:left="227" w:hanging="227"/>
        <w:rPr>
          <w:rFonts w:cs="Arial"/>
          <w:szCs w:val="24"/>
        </w:rPr>
      </w:pPr>
    </w:p>
    <w:p w:rsidR="00A1164B" w:rsidRPr="00B92503" w:rsidRDefault="0087789D" w:rsidP="00553120">
      <w:pPr>
        <w:pStyle w:val="ListParagraph"/>
      </w:pPr>
      <w:r w:rsidRPr="00B92503">
        <w:t xml:space="preserve">There </w:t>
      </w:r>
      <w:r w:rsidR="00712236" w:rsidRPr="00B92503">
        <w:t>is</w:t>
      </w:r>
      <w:r w:rsidRPr="00B92503">
        <w:t xml:space="preserve"> no information available about milestones such as a defined number of people who are expected to leave existing institutional care facilities by a target date.</w:t>
      </w:r>
    </w:p>
    <w:p w:rsidR="00032BD4" w:rsidRPr="00B92503" w:rsidRDefault="00032BD4" w:rsidP="00B92503">
      <w:pPr>
        <w:ind w:left="227" w:hanging="227"/>
        <w:rPr>
          <w:rFonts w:cs="Arial"/>
          <w:szCs w:val="24"/>
        </w:rPr>
      </w:pPr>
    </w:p>
    <w:p w:rsidR="00032BD4" w:rsidRDefault="00032BD4" w:rsidP="00B92503">
      <w:pPr>
        <w:rPr>
          <w:rFonts w:cs="Arial"/>
          <w:szCs w:val="24"/>
        </w:rPr>
      </w:pPr>
      <w:r w:rsidRPr="00B92503">
        <w:rPr>
          <w:rFonts w:cs="Arial"/>
          <w:szCs w:val="24"/>
        </w:rPr>
        <w:t>The Country factsheet of Luxembourg on the European Structural and Investment Funds</w:t>
      </w:r>
      <w:r w:rsidRPr="00B92503">
        <w:rPr>
          <w:rStyle w:val="FootnoteReference"/>
          <w:rFonts w:cs="Arial"/>
          <w:sz w:val="24"/>
          <w:szCs w:val="24"/>
        </w:rPr>
        <w:footnoteReference w:id="62"/>
      </w:r>
      <w:r w:rsidRPr="00B92503">
        <w:rPr>
          <w:rFonts w:cs="Arial"/>
          <w:szCs w:val="24"/>
        </w:rPr>
        <w:t xml:space="preserve"> states, that Luxembourg has been allocated EUR 140 million from ESI Funds </w:t>
      </w:r>
      <w:r w:rsidRPr="00B92503">
        <w:rPr>
          <w:rFonts w:cs="Arial"/>
          <w:szCs w:val="24"/>
        </w:rPr>
        <w:lastRenderedPageBreak/>
        <w:t xml:space="preserve">over the period 2014-2020. With a national contribution of EUR 316 million, </w:t>
      </w:r>
      <w:r w:rsidR="00E1309A" w:rsidRPr="00B92503">
        <w:rPr>
          <w:rFonts w:cs="Arial"/>
          <w:szCs w:val="24"/>
        </w:rPr>
        <w:t>Luxembourg</w:t>
      </w:r>
      <w:r w:rsidRPr="00B92503">
        <w:rPr>
          <w:rFonts w:cs="Arial"/>
          <w:szCs w:val="24"/>
        </w:rPr>
        <w:t xml:space="preserve"> has a total budget of EUR 456 million to be invested in various areas, from protecting the environment to creating greater economic diversification for jobs and growth as well as supporting social cohesion. There are no identifiable links between </w:t>
      </w:r>
      <w:r w:rsidR="00333285" w:rsidRPr="00B92503">
        <w:rPr>
          <w:rFonts w:cs="Arial"/>
          <w:szCs w:val="24"/>
        </w:rPr>
        <w:t>i</w:t>
      </w:r>
      <w:r w:rsidRPr="00B92503">
        <w:rPr>
          <w:rFonts w:cs="Arial"/>
          <w:szCs w:val="24"/>
        </w:rPr>
        <w:t xml:space="preserve">ndependent </w:t>
      </w:r>
      <w:r w:rsidR="00333285" w:rsidRPr="00B92503">
        <w:rPr>
          <w:rFonts w:cs="Arial"/>
          <w:szCs w:val="24"/>
        </w:rPr>
        <w:t>l</w:t>
      </w:r>
      <w:r w:rsidRPr="00B92503">
        <w:rPr>
          <w:rFonts w:cs="Arial"/>
          <w:szCs w:val="24"/>
        </w:rPr>
        <w:t>iving and EDF programs.</w:t>
      </w:r>
    </w:p>
    <w:p w:rsidR="00553120" w:rsidRPr="00B92503" w:rsidRDefault="00553120" w:rsidP="00B92503">
      <w:pPr>
        <w:rPr>
          <w:rFonts w:cs="Arial"/>
          <w:szCs w:val="24"/>
        </w:rPr>
      </w:pPr>
    </w:p>
    <w:p w:rsidR="00032BD4" w:rsidRDefault="00032BD4" w:rsidP="00B92503">
      <w:pPr>
        <w:rPr>
          <w:rFonts w:cs="Arial"/>
          <w:szCs w:val="24"/>
        </w:rPr>
      </w:pPr>
      <w:r w:rsidRPr="00B92503">
        <w:rPr>
          <w:rFonts w:cs="Arial"/>
          <w:szCs w:val="24"/>
        </w:rPr>
        <w:t>On the level of “Partnership Agreement with the European Commission”</w:t>
      </w:r>
      <w:r w:rsidRPr="00B92503">
        <w:rPr>
          <w:rStyle w:val="FootnoteReference"/>
          <w:rFonts w:cs="Arial"/>
          <w:sz w:val="24"/>
          <w:szCs w:val="24"/>
        </w:rPr>
        <w:footnoteReference w:id="63"/>
      </w:r>
      <w:r w:rsidRPr="00B92503">
        <w:rPr>
          <w:rFonts w:cs="Arial"/>
          <w:szCs w:val="24"/>
        </w:rPr>
        <w:t xml:space="preserve"> there are three points that may </w:t>
      </w:r>
      <w:proofErr w:type="gramStart"/>
      <w:r w:rsidRPr="00B92503">
        <w:rPr>
          <w:rFonts w:cs="Arial"/>
          <w:szCs w:val="24"/>
        </w:rPr>
        <w:t>be con</w:t>
      </w:r>
      <w:r w:rsidR="00333285" w:rsidRPr="00B92503">
        <w:rPr>
          <w:rFonts w:cs="Arial"/>
          <w:szCs w:val="24"/>
        </w:rPr>
        <w:t>n</w:t>
      </w:r>
      <w:r w:rsidRPr="00B92503">
        <w:rPr>
          <w:rFonts w:cs="Arial"/>
          <w:szCs w:val="24"/>
        </w:rPr>
        <w:t>ected with</w:t>
      </w:r>
      <w:proofErr w:type="gramEnd"/>
      <w:r w:rsidRPr="00B92503">
        <w:rPr>
          <w:rFonts w:cs="Arial"/>
          <w:szCs w:val="24"/>
        </w:rPr>
        <w:t xml:space="preserve"> independent living:</w:t>
      </w:r>
    </w:p>
    <w:p w:rsidR="00553120" w:rsidRPr="00B92503" w:rsidRDefault="00553120" w:rsidP="00B92503">
      <w:pPr>
        <w:rPr>
          <w:rFonts w:cs="Arial"/>
          <w:szCs w:val="24"/>
        </w:rPr>
      </w:pPr>
    </w:p>
    <w:p w:rsidR="00032BD4" w:rsidRPr="00B92503" w:rsidRDefault="00032BD4" w:rsidP="00553120">
      <w:pPr>
        <w:pStyle w:val="ListParagraph"/>
      </w:pPr>
      <w:r w:rsidRPr="00B92503">
        <w:t xml:space="preserve">tackling unemployment, </w:t>
      </w:r>
      <w:proofErr w:type="gramStart"/>
      <w:r w:rsidRPr="00B92503">
        <w:t>in particular youth</w:t>
      </w:r>
      <w:proofErr w:type="gramEnd"/>
      <w:r w:rsidRPr="00B92503">
        <w:t xml:space="preserve"> unemployment, by raising the </w:t>
      </w:r>
      <w:r w:rsidR="00E1309A" w:rsidRPr="00B92503">
        <w:t>qualifications</w:t>
      </w:r>
      <w:r w:rsidRPr="00B92503">
        <w:t xml:space="preserve"> and skills of the youth and job seekers with an immigration background and focusing on a better match between offer and demand in the labour market;</w:t>
      </w:r>
    </w:p>
    <w:p w:rsidR="00032BD4" w:rsidRPr="00B92503" w:rsidRDefault="00032BD4" w:rsidP="00553120">
      <w:pPr>
        <w:pStyle w:val="ListParagraph"/>
      </w:pPr>
      <w:r w:rsidRPr="00B92503">
        <w:t>reducing poverty through improved access to services and support to the social economy, including the integration of vulnerable minorities;</w:t>
      </w:r>
    </w:p>
    <w:p w:rsidR="00032BD4" w:rsidRPr="00B92503" w:rsidRDefault="00032BD4" w:rsidP="00553120">
      <w:pPr>
        <w:pStyle w:val="ListParagraph"/>
      </w:pPr>
      <w:r w:rsidRPr="00B92503">
        <w:t>enhancing equal access to lifelong learning to all age categories, in order, among others, to keep older worker longer in the work force;</w:t>
      </w:r>
    </w:p>
    <w:p w:rsidR="00057F31" w:rsidRPr="00B92503" w:rsidRDefault="00057F31" w:rsidP="00B92503">
      <w:pPr>
        <w:rPr>
          <w:rFonts w:cs="Arial"/>
          <w:szCs w:val="24"/>
        </w:rPr>
      </w:pPr>
    </w:p>
    <w:p w:rsidR="00032BD4" w:rsidRPr="00B92503" w:rsidRDefault="00032BD4" w:rsidP="00B92503">
      <w:pPr>
        <w:rPr>
          <w:rFonts w:cs="Arial"/>
          <w:szCs w:val="24"/>
        </w:rPr>
      </w:pPr>
      <w:r w:rsidRPr="00B92503">
        <w:rPr>
          <w:rFonts w:cs="Arial"/>
          <w:szCs w:val="24"/>
        </w:rPr>
        <w:t>But looking at the expected outcomes there are only two targets that may correspond in a very fare manner to Independent living (tertiary or equivalent education to be completed by 66</w:t>
      </w:r>
      <w:r w:rsidR="00553120">
        <w:rPr>
          <w:rFonts w:cs="Arial"/>
          <w:szCs w:val="24"/>
        </w:rPr>
        <w:t xml:space="preserve"> </w:t>
      </w:r>
      <w:r w:rsidRPr="00B92503">
        <w:rPr>
          <w:rFonts w:cs="Arial"/>
          <w:szCs w:val="24"/>
        </w:rPr>
        <w:t>% of 30-34 years, up from 52</w:t>
      </w:r>
      <w:r w:rsidR="00553120">
        <w:rPr>
          <w:rFonts w:cs="Arial"/>
          <w:szCs w:val="24"/>
        </w:rPr>
        <w:t>,</w:t>
      </w:r>
      <w:r w:rsidRPr="00B92503">
        <w:rPr>
          <w:rFonts w:cs="Arial"/>
          <w:szCs w:val="24"/>
        </w:rPr>
        <w:t>5</w:t>
      </w:r>
      <w:r w:rsidR="00553120">
        <w:rPr>
          <w:rFonts w:cs="Arial"/>
          <w:szCs w:val="24"/>
        </w:rPr>
        <w:t xml:space="preserve"> </w:t>
      </w:r>
      <w:r w:rsidRPr="00B92503">
        <w:rPr>
          <w:rFonts w:cs="Arial"/>
          <w:szCs w:val="24"/>
        </w:rPr>
        <w:t>% in 2013, and employment rate for the population aged 20-64: 73</w:t>
      </w:r>
      <w:r w:rsidR="00553120">
        <w:rPr>
          <w:rFonts w:cs="Arial"/>
          <w:szCs w:val="24"/>
        </w:rPr>
        <w:t xml:space="preserve"> </w:t>
      </w:r>
      <w:r w:rsidRPr="00B92503">
        <w:rPr>
          <w:rFonts w:cs="Arial"/>
          <w:szCs w:val="24"/>
        </w:rPr>
        <w:t>% (71</w:t>
      </w:r>
      <w:r w:rsidR="00553120">
        <w:rPr>
          <w:rFonts w:cs="Arial"/>
          <w:szCs w:val="24"/>
        </w:rPr>
        <w:t>,</w:t>
      </w:r>
      <w:r w:rsidRPr="00B92503">
        <w:rPr>
          <w:rFonts w:cs="Arial"/>
          <w:szCs w:val="24"/>
        </w:rPr>
        <w:t>1</w:t>
      </w:r>
      <w:r w:rsidR="00553120">
        <w:rPr>
          <w:rFonts w:cs="Arial"/>
          <w:szCs w:val="24"/>
        </w:rPr>
        <w:t xml:space="preserve"> </w:t>
      </w:r>
      <w:r w:rsidRPr="00B92503">
        <w:rPr>
          <w:rFonts w:cs="Arial"/>
          <w:szCs w:val="24"/>
        </w:rPr>
        <w:t>% in 2013).</w:t>
      </w:r>
      <w:r w:rsidRPr="00B92503">
        <w:rPr>
          <w:rStyle w:val="FootnoteReference"/>
          <w:rFonts w:cs="Arial"/>
          <w:sz w:val="24"/>
          <w:szCs w:val="24"/>
        </w:rPr>
        <w:footnoteReference w:id="64"/>
      </w:r>
    </w:p>
    <w:p w:rsidR="00057F31" w:rsidRPr="00B92503" w:rsidRDefault="00057F31" w:rsidP="00B92503">
      <w:pPr>
        <w:rPr>
          <w:rFonts w:cs="Arial"/>
          <w:szCs w:val="24"/>
        </w:rPr>
      </w:pPr>
    </w:p>
    <w:p w:rsidR="00032BD4" w:rsidRDefault="00F16A2D" w:rsidP="00B92503">
      <w:pPr>
        <w:ind w:left="227" w:hanging="227"/>
        <w:rPr>
          <w:rFonts w:cs="Arial"/>
          <w:szCs w:val="24"/>
        </w:rPr>
      </w:pPr>
      <w:r w:rsidRPr="00B92503">
        <w:rPr>
          <w:rFonts w:cs="Arial"/>
          <w:szCs w:val="24"/>
        </w:rPr>
        <w:t xml:space="preserve">In a very recent </w:t>
      </w:r>
      <w:r w:rsidR="00F22AA2" w:rsidRPr="00B92503">
        <w:rPr>
          <w:rFonts w:cs="Arial"/>
          <w:szCs w:val="24"/>
        </w:rPr>
        <w:t xml:space="preserve">statement about a draft act on accessibility the government confirms: </w:t>
      </w:r>
    </w:p>
    <w:p w:rsidR="00553120" w:rsidRPr="00B92503" w:rsidRDefault="00553120" w:rsidP="00B92503">
      <w:pPr>
        <w:ind w:left="227" w:hanging="227"/>
        <w:rPr>
          <w:rFonts w:cs="Arial"/>
          <w:szCs w:val="24"/>
        </w:rPr>
      </w:pPr>
    </w:p>
    <w:p w:rsidR="00F22AA2" w:rsidRPr="00B92503" w:rsidRDefault="00F22AA2" w:rsidP="00553120">
      <w:pPr>
        <w:ind w:left="567"/>
        <w:rPr>
          <w:rFonts w:cs="Arial"/>
          <w:szCs w:val="24"/>
        </w:rPr>
      </w:pPr>
      <w:r w:rsidRPr="00B92503">
        <w:rPr>
          <w:rFonts w:cs="Arial"/>
          <w:szCs w:val="24"/>
        </w:rPr>
        <w:t>“</w:t>
      </w:r>
      <w:r w:rsidRPr="00B92503">
        <w:rPr>
          <w:rFonts w:cs="Arial"/>
          <w:i/>
          <w:szCs w:val="24"/>
        </w:rPr>
        <w:t xml:space="preserve">In Luxembourg, the inclusion of people with disabilities in social life and the guarantee of a life as independent as possible are priorities of social policy. In practice, this means guaranteeing that people with disabilities can exercise and fully enjoy their rights and freedoms, through the implementation of specific measures, </w:t>
      </w:r>
      <w:proofErr w:type="gramStart"/>
      <w:r w:rsidRPr="00B92503">
        <w:rPr>
          <w:rFonts w:cs="Arial"/>
          <w:i/>
          <w:szCs w:val="24"/>
        </w:rPr>
        <w:t>in particular by</w:t>
      </w:r>
      <w:proofErr w:type="gramEnd"/>
      <w:r w:rsidRPr="00B92503">
        <w:rPr>
          <w:rFonts w:cs="Arial"/>
          <w:i/>
          <w:szCs w:val="24"/>
        </w:rPr>
        <w:t xml:space="preserve"> making places open to the public, public roads and collective housing accessible to all</w:t>
      </w:r>
      <w:r w:rsidRPr="00B92503">
        <w:rPr>
          <w:rFonts w:cs="Arial"/>
          <w:szCs w:val="24"/>
        </w:rPr>
        <w:t>.”</w:t>
      </w:r>
      <w:r w:rsidRPr="00B92503">
        <w:rPr>
          <w:rStyle w:val="FootnoteReference"/>
          <w:rFonts w:cs="Arial"/>
          <w:sz w:val="24"/>
          <w:szCs w:val="24"/>
        </w:rPr>
        <w:footnoteReference w:id="65"/>
      </w:r>
    </w:p>
    <w:p w:rsidR="00300F76" w:rsidRPr="00B92503" w:rsidRDefault="00300F76" w:rsidP="00B92503">
      <w:pPr>
        <w:pStyle w:val="BodyText"/>
      </w:pPr>
    </w:p>
    <w:p w:rsidR="008E4ACD" w:rsidRPr="00B92503" w:rsidRDefault="00647DE8" w:rsidP="00B92503">
      <w:pPr>
        <w:pStyle w:val="Heading2"/>
        <w:rPr>
          <w:rFonts w:cs="Arial"/>
          <w:szCs w:val="24"/>
        </w:rPr>
      </w:pPr>
      <w:bookmarkStart w:id="25" w:name="_TOC_250025"/>
      <w:bookmarkStart w:id="26" w:name="_Toc529874062"/>
      <w:bookmarkStart w:id="27" w:name="_Toc7612958"/>
      <w:r w:rsidRPr="00B92503">
        <w:rPr>
          <w:rFonts w:cs="Arial"/>
          <w:szCs w:val="24"/>
        </w:rPr>
        <w:t>Please s</w:t>
      </w:r>
      <w:r w:rsidR="008E4ACD" w:rsidRPr="00B92503">
        <w:rPr>
          <w:rFonts w:cs="Arial"/>
          <w:szCs w:val="24"/>
        </w:rPr>
        <w:t>ummar</w:t>
      </w:r>
      <w:r w:rsidRPr="00B92503">
        <w:rPr>
          <w:rFonts w:cs="Arial"/>
          <w:szCs w:val="24"/>
        </w:rPr>
        <w:t>ise</w:t>
      </w:r>
      <w:r w:rsidR="008E4ACD" w:rsidRPr="00B92503">
        <w:rPr>
          <w:rFonts w:cs="Arial"/>
          <w:szCs w:val="24"/>
        </w:rPr>
        <w:t xml:space="preserve"> the planned approach and </w:t>
      </w:r>
      <w:r w:rsidRPr="00B92503">
        <w:rPr>
          <w:rFonts w:cs="Arial"/>
          <w:szCs w:val="24"/>
        </w:rPr>
        <w:t xml:space="preserve">the </w:t>
      </w:r>
      <w:r w:rsidR="008E4ACD" w:rsidRPr="00B92503">
        <w:rPr>
          <w:rFonts w:cs="Arial"/>
          <w:szCs w:val="24"/>
        </w:rPr>
        <w:t>actions to be take</w:t>
      </w:r>
      <w:r w:rsidRPr="00B92503">
        <w:rPr>
          <w:rFonts w:cs="Arial"/>
          <w:szCs w:val="24"/>
        </w:rPr>
        <w:t xml:space="preserve">n in relevant </w:t>
      </w:r>
      <w:bookmarkEnd w:id="25"/>
      <w:r w:rsidRPr="00B92503">
        <w:rPr>
          <w:rFonts w:cs="Arial"/>
          <w:szCs w:val="24"/>
        </w:rPr>
        <w:t>strategies</w:t>
      </w:r>
      <w:bookmarkEnd w:id="26"/>
      <w:bookmarkEnd w:id="27"/>
    </w:p>
    <w:p w:rsidR="00057F31" w:rsidRPr="00B92503" w:rsidRDefault="00057F31" w:rsidP="00B92503">
      <w:pPr>
        <w:rPr>
          <w:rFonts w:cs="Arial"/>
          <w:szCs w:val="24"/>
        </w:rPr>
      </w:pPr>
    </w:p>
    <w:p w:rsidR="00032BD4" w:rsidRPr="00B92503" w:rsidRDefault="00032BD4" w:rsidP="00B92503">
      <w:pPr>
        <w:rPr>
          <w:rFonts w:cs="Arial"/>
          <w:szCs w:val="24"/>
        </w:rPr>
      </w:pPr>
      <w:r w:rsidRPr="00B92503">
        <w:rPr>
          <w:rFonts w:cs="Arial"/>
          <w:szCs w:val="24"/>
        </w:rPr>
        <w:t>The central approach here is that of inclusion, which is expressed both as a method and as a goal. The first national action plan proclaimed</w:t>
      </w:r>
      <w:r w:rsidR="00333285" w:rsidRPr="00B92503">
        <w:rPr>
          <w:rFonts w:cs="Arial"/>
          <w:szCs w:val="24"/>
        </w:rPr>
        <w:t xml:space="preserve"> (2012,1)</w:t>
      </w:r>
      <w:r w:rsidRPr="00B92503">
        <w:rPr>
          <w:rFonts w:cs="Arial"/>
          <w:szCs w:val="24"/>
        </w:rPr>
        <w:t>: “</w:t>
      </w:r>
      <w:r w:rsidRPr="00B92503">
        <w:rPr>
          <w:rFonts w:cs="Arial"/>
          <w:i/>
          <w:szCs w:val="24"/>
        </w:rPr>
        <w:t>The overall objective is inclusion. An integrative system aspires to an insertion of "</w:t>
      </w:r>
      <w:r w:rsidR="006B3971" w:rsidRPr="00B92503">
        <w:rPr>
          <w:rFonts w:cs="Arial"/>
          <w:i/>
          <w:szCs w:val="24"/>
        </w:rPr>
        <w:t xml:space="preserve"> problematic </w:t>
      </w:r>
      <w:r w:rsidRPr="00B92503">
        <w:rPr>
          <w:rFonts w:cs="Arial"/>
          <w:i/>
          <w:szCs w:val="24"/>
        </w:rPr>
        <w:t>cases ". On the other hand, an inclusive system does not keep anyone out, but accepts each as he is. However, such a system only makes sense if our environment is previously adapted to the needs of each person</w:t>
      </w:r>
      <w:r w:rsidRPr="00B92503">
        <w:rPr>
          <w:rFonts w:cs="Arial"/>
          <w:szCs w:val="24"/>
        </w:rPr>
        <w:t>.”</w:t>
      </w:r>
      <w:r w:rsidRPr="00B92503">
        <w:rPr>
          <w:rStyle w:val="FootnoteReference"/>
          <w:rFonts w:cs="Arial"/>
          <w:sz w:val="24"/>
          <w:szCs w:val="24"/>
        </w:rPr>
        <w:footnoteReference w:id="66"/>
      </w:r>
      <w:r w:rsidR="00E44136" w:rsidRPr="00B92503">
        <w:rPr>
          <w:rFonts w:cs="Arial"/>
          <w:szCs w:val="24"/>
        </w:rPr>
        <w:t xml:space="preserve"> </w:t>
      </w:r>
    </w:p>
    <w:p w:rsidR="00163179" w:rsidRPr="00B92503" w:rsidRDefault="00E44136" w:rsidP="00B92503">
      <w:pPr>
        <w:rPr>
          <w:rFonts w:cs="Arial"/>
          <w:szCs w:val="24"/>
        </w:rPr>
      </w:pPr>
      <w:r w:rsidRPr="00B92503">
        <w:rPr>
          <w:rFonts w:cs="Arial"/>
          <w:szCs w:val="24"/>
        </w:rPr>
        <w:lastRenderedPageBreak/>
        <w:t>The concept of universal design (</w:t>
      </w:r>
      <w:r w:rsidR="006B3971" w:rsidRPr="00B92503">
        <w:rPr>
          <w:rFonts w:cs="Arial"/>
          <w:szCs w:val="24"/>
        </w:rPr>
        <w:t>“</w:t>
      </w:r>
      <w:r w:rsidRPr="00B92503">
        <w:rPr>
          <w:rFonts w:cs="Arial"/>
          <w:i/>
          <w:szCs w:val="24"/>
        </w:rPr>
        <w:t xml:space="preserve">conception </w:t>
      </w:r>
      <w:proofErr w:type="spellStart"/>
      <w:r w:rsidRPr="00B92503">
        <w:rPr>
          <w:rFonts w:cs="Arial"/>
          <w:i/>
          <w:szCs w:val="24"/>
        </w:rPr>
        <w:t>universelle</w:t>
      </w:r>
      <w:proofErr w:type="spellEnd"/>
      <w:r w:rsidR="006B3971" w:rsidRPr="00B92503">
        <w:rPr>
          <w:rFonts w:cs="Arial"/>
          <w:i/>
          <w:szCs w:val="24"/>
        </w:rPr>
        <w:t>”</w:t>
      </w:r>
      <w:r w:rsidRPr="00B92503">
        <w:rPr>
          <w:rFonts w:cs="Arial"/>
          <w:szCs w:val="24"/>
        </w:rPr>
        <w:t xml:space="preserve">) is regarded as an essential approach in this respect. </w:t>
      </w:r>
      <w:r w:rsidR="00163179" w:rsidRPr="00B92503">
        <w:rPr>
          <w:rFonts w:cs="Arial"/>
          <w:szCs w:val="24"/>
        </w:rPr>
        <w:t xml:space="preserve">Finally, sensitization and awareness rising programs </w:t>
      </w:r>
      <w:proofErr w:type="gramStart"/>
      <w:r w:rsidR="00163179" w:rsidRPr="00B92503">
        <w:rPr>
          <w:rFonts w:cs="Arial"/>
          <w:szCs w:val="24"/>
        </w:rPr>
        <w:t>are seen as</w:t>
      </w:r>
      <w:proofErr w:type="gramEnd"/>
      <w:r w:rsidR="00163179" w:rsidRPr="00B92503">
        <w:rPr>
          <w:rFonts w:cs="Arial"/>
          <w:szCs w:val="24"/>
        </w:rPr>
        <w:t xml:space="preserve"> an essential approach to reach the targeted inclusive society.</w:t>
      </w:r>
      <w:r w:rsidR="00F16A2D" w:rsidRPr="00B92503">
        <w:rPr>
          <w:rFonts w:cs="Arial"/>
          <w:szCs w:val="24"/>
        </w:rPr>
        <w:t xml:space="preserve"> </w:t>
      </w:r>
      <w:proofErr w:type="gramStart"/>
      <w:r w:rsidR="00F16A2D" w:rsidRPr="00B92503">
        <w:rPr>
          <w:rFonts w:cs="Arial"/>
          <w:szCs w:val="24"/>
        </w:rPr>
        <w:t>With regard to</w:t>
      </w:r>
      <w:proofErr w:type="gramEnd"/>
      <w:r w:rsidR="00F16A2D" w:rsidRPr="00B92503">
        <w:rPr>
          <w:rFonts w:cs="Arial"/>
          <w:szCs w:val="24"/>
        </w:rPr>
        <w:t xml:space="preserve"> universal designs, it was decided to create a national competence centre</w:t>
      </w:r>
      <w:r w:rsidR="00553120">
        <w:rPr>
          <w:rFonts w:cs="Arial"/>
          <w:szCs w:val="24"/>
        </w:rPr>
        <w:t>,</w:t>
      </w:r>
      <w:r w:rsidR="00F16A2D" w:rsidRPr="00B92503">
        <w:rPr>
          <w:rStyle w:val="FootnoteReference"/>
          <w:rFonts w:cs="Arial"/>
          <w:sz w:val="24"/>
          <w:szCs w:val="24"/>
        </w:rPr>
        <w:footnoteReference w:id="67"/>
      </w:r>
      <w:r w:rsidR="00F16A2D" w:rsidRPr="00B92503">
        <w:rPr>
          <w:rFonts w:cs="Arial"/>
          <w:szCs w:val="24"/>
        </w:rPr>
        <w:t xml:space="preserve"> which would coordinate the measures and be available to advise on private construction projects. The timeframe was given as "consecutive".</w:t>
      </w:r>
    </w:p>
    <w:p w:rsidR="00057F31" w:rsidRPr="00B92503" w:rsidRDefault="00057F31" w:rsidP="00B92503">
      <w:pPr>
        <w:rPr>
          <w:rFonts w:cs="Arial"/>
          <w:szCs w:val="24"/>
        </w:rPr>
      </w:pPr>
    </w:p>
    <w:p w:rsidR="00716B20" w:rsidRPr="00B92503" w:rsidRDefault="00716B20" w:rsidP="00B92503">
      <w:pPr>
        <w:pStyle w:val="Heading2"/>
        <w:rPr>
          <w:rFonts w:cs="Arial"/>
          <w:szCs w:val="24"/>
        </w:rPr>
      </w:pPr>
      <w:bookmarkStart w:id="28" w:name="_TOC_250024"/>
      <w:bookmarkStart w:id="29" w:name="_Toc529874063"/>
      <w:bookmarkStart w:id="30" w:name="_Toc7612959"/>
      <w:bookmarkEnd w:id="28"/>
      <w:r w:rsidRPr="00B92503">
        <w:rPr>
          <w:rFonts w:cs="Arial"/>
          <w:szCs w:val="24"/>
        </w:rPr>
        <w:t>What budgetary commitments are made to support these strategies, both for domestic and EU funds?</w:t>
      </w:r>
      <w:bookmarkEnd w:id="29"/>
      <w:bookmarkEnd w:id="30"/>
    </w:p>
    <w:p w:rsidR="00057F31" w:rsidRPr="00B92503" w:rsidRDefault="00057F31" w:rsidP="00B92503">
      <w:pPr>
        <w:rPr>
          <w:rFonts w:cs="Arial"/>
          <w:szCs w:val="24"/>
        </w:rPr>
      </w:pPr>
    </w:p>
    <w:p w:rsidR="006B3971" w:rsidRPr="00B92503" w:rsidRDefault="00163179" w:rsidP="00B92503">
      <w:pPr>
        <w:rPr>
          <w:rFonts w:cs="Arial"/>
          <w:szCs w:val="24"/>
        </w:rPr>
      </w:pPr>
      <w:r w:rsidRPr="00B92503">
        <w:rPr>
          <w:rFonts w:cs="Arial"/>
          <w:szCs w:val="24"/>
        </w:rPr>
        <w:t xml:space="preserve">For </w:t>
      </w:r>
      <w:r w:rsidR="00333285" w:rsidRPr="00B92503">
        <w:rPr>
          <w:rFonts w:cs="Arial"/>
          <w:szCs w:val="24"/>
        </w:rPr>
        <w:t>i</w:t>
      </w:r>
      <w:r w:rsidRPr="00B92503">
        <w:rPr>
          <w:rFonts w:cs="Arial"/>
          <w:szCs w:val="24"/>
        </w:rPr>
        <w:t xml:space="preserve">ndependent </w:t>
      </w:r>
      <w:r w:rsidR="00333285" w:rsidRPr="00B92503">
        <w:rPr>
          <w:rFonts w:cs="Arial"/>
          <w:szCs w:val="24"/>
        </w:rPr>
        <w:t>l</w:t>
      </w:r>
      <w:r w:rsidRPr="00B92503">
        <w:rPr>
          <w:rFonts w:cs="Arial"/>
          <w:szCs w:val="24"/>
        </w:rPr>
        <w:t>iving or traditional housing projects for people with disabilities, no data are available on EU funded projects in Luxembourg</w:t>
      </w:r>
      <w:r w:rsidR="00B72061">
        <w:rPr>
          <w:rFonts w:cs="Arial"/>
          <w:szCs w:val="24"/>
        </w:rPr>
        <w:t>.</w:t>
      </w:r>
      <w:r w:rsidR="00733BF6" w:rsidRPr="00B92503">
        <w:rPr>
          <w:rStyle w:val="FootnoteReference"/>
          <w:rFonts w:cs="Arial"/>
          <w:sz w:val="24"/>
          <w:szCs w:val="24"/>
        </w:rPr>
        <w:footnoteReference w:id="68"/>
      </w:r>
      <w:r w:rsidRPr="00B92503">
        <w:rPr>
          <w:rFonts w:cs="Arial"/>
          <w:szCs w:val="24"/>
        </w:rPr>
        <w:t xml:space="preserve"> So far, </w:t>
      </w:r>
      <w:proofErr w:type="gramStart"/>
      <w:r w:rsidRPr="00B92503">
        <w:rPr>
          <w:rFonts w:cs="Arial"/>
          <w:szCs w:val="24"/>
        </w:rPr>
        <w:t>and also</w:t>
      </w:r>
      <w:proofErr w:type="gramEnd"/>
      <w:r w:rsidRPr="00B92503">
        <w:rPr>
          <w:rFonts w:cs="Arial"/>
          <w:szCs w:val="24"/>
        </w:rPr>
        <w:t xml:space="preserve"> at present, the governmental payments refer to the costs resulting in the associated sector </w:t>
      </w:r>
      <w:r w:rsidR="007C4D2B" w:rsidRPr="00B92503">
        <w:rPr>
          <w:rFonts w:cs="Arial"/>
          <w:szCs w:val="24"/>
        </w:rPr>
        <w:t>(</w:t>
      </w:r>
      <w:proofErr w:type="spellStart"/>
      <w:r w:rsidR="007C4D2B" w:rsidRPr="00B92503">
        <w:rPr>
          <w:rFonts w:cs="Arial"/>
          <w:i/>
          <w:szCs w:val="24"/>
        </w:rPr>
        <w:t>secteur</w:t>
      </w:r>
      <w:proofErr w:type="spellEnd"/>
      <w:r w:rsidR="007C4D2B" w:rsidRPr="00B92503">
        <w:rPr>
          <w:rFonts w:cs="Arial"/>
          <w:i/>
          <w:szCs w:val="24"/>
        </w:rPr>
        <w:t xml:space="preserve"> </w:t>
      </w:r>
      <w:proofErr w:type="spellStart"/>
      <w:r w:rsidRPr="00B92503">
        <w:rPr>
          <w:rFonts w:cs="Arial"/>
          <w:i/>
          <w:szCs w:val="24"/>
        </w:rPr>
        <w:t>conventionné</w:t>
      </w:r>
      <w:proofErr w:type="spellEnd"/>
      <w:r w:rsidRPr="00B92503">
        <w:rPr>
          <w:rFonts w:cs="Arial"/>
          <w:szCs w:val="24"/>
        </w:rPr>
        <w:t xml:space="preserve">). (See </w:t>
      </w:r>
      <w:r w:rsidR="007C4D2B" w:rsidRPr="00B92503">
        <w:rPr>
          <w:rFonts w:cs="Arial"/>
          <w:szCs w:val="24"/>
        </w:rPr>
        <w:t xml:space="preserve">Part A, </w:t>
      </w:r>
      <w:r w:rsidRPr="00B92503">
        <w:rPr>
          <w:rFonts w:cs="Arial"/>
          <w:szCs w:val="24"/>
        </w:rPr>
        <w:t>chapter</w:t>
      </w:r>
      <w:r w:rsidR="007C4D2B" w:rsidRPr="00B92503">
        <w:rPr>
          <w:rFonts w:cs="Arial"/>
          <w:szCs w:val="24"/>
        </w:rPr>
        <w:t xml:space="preserve"> 1</w:t>
      </w:r>
      <w:r w:rsidRPr="00B92503">
        <w:rPr>
          <w:rFonts w:cs="Arial"/>
          <w:szCs w:val="24"/>
        </w:rPr>
        <w:t>).</w:t>
      </w:r>
    </w:p>
    <w:p w:rsidR="00DB1F4F" w:rsidRPr="00B92503" w:rsidRDefault="00DB1F4F" w:rsidP="00B92503">
      <w:pPr>
        <w:rPr>
          <w:rFonts w:cs="Arial"/>
          <w:szCs w:val="24"/>
        </w:rPr>
      </w:pPr>
    </w:p>
    <w:p w:rsidR="006B7D12" w:rsidRPr="00B92503" w:rsidRDefault="006B7D12" w:rsidP="00B92503">
      <w:pPr>
        <w:rPr>
          <w:rFonts w:cs="Arial"/>
          <w:szCs w:val="24"/>
        </w:rPr>
      </w:pPr>
      <w:r w:rsidRPr="00B92503">
        <w:rPr>
          <w:rFonts w:cs="Arial"/>
          <w:b/>
          <w:szCs w:val="24"/>
        </w:rPr>
        <w:t>Figure 1</w:t>
      </w:r>
      <w:r w:rsidR="006B3971" w:rsidRPr="00B92503">
        <w:rPr>
          <w:rFonts w:cs="Arial"/>
          <w:b/>
          <w:szCs w:val="24"/>
        </w:rPr>
        <w:t>4:</w:t>
      </w:r>
      <w:r w:rsidRPr="00B92503">
        <w:rPr>
          <w:rFonts w:cs="Arial"/>
          <w:szCs w:val="24"/>
        </w:rPr>
        <w:t xml:space="preserve"> domestic budgetary commitments to support independent living </w:t>
      </w:r>
    </w:p>
    <w:tbl>
      <w:tblPr>
        <w:tblW w:w="0" w:type="auto"/>
        <w:tblInd w:w="-38" w:type="dxa"/>
        <w:tblLayout w:type="fixed"/>
        <w:tblCellMar>
          <w:left w:w="30" w:type="dxa"/>
          <w:right w:w="30" w:type="dxa"/>
        </w:tblCellMar>
        <w:tblLook w:val="0000" w:firstRow="0" w:lastRow="0" w:firstColumn="0" w:lastColumn="0" w:noHBand="0" w:noVBand="0"/>
      </w:tblPr>
      <w:tblGrid>
        <w:gridCol w:w="4569"/>
        <w:gridCol w:w="4395"/>
      </w:tblGrid>
      <w:tr w:rsidR="007C4D2B" w:rsidRPr="00B92503" w:rsidTr="00057F31">
        <w:trPr>
          <w:trHeight w:val="269"/>
        </w:trPr>
        <w:tc>
          <w:tcPr>
            <w:tcW w:w="45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4D2B" w:rsidRPr="00B92503" w:rsidRDefault="006B7D12" w:rsidP="00B72061">
            <w:pPr>
              <w:autoSpaceDE w:val="0"/>
              <w:autoSpaceDN w:val="0"/>
              <w:adjustRightInd w:val="0"/>
              <w:jc w:val="left"/>
              <w:rPr>
                <w:rFonts w:cs="Arial"/>
                <w:color w:val="000000"/>
                <w:szCs w:val="24"/>
                <w:lang w:val="en-US"/>
              </w:rPr>
            </w:pPr>
            <w:r w:rsidRPr="00B92503">
              <w:rPr>
                <w:rFonts w:cs="Arial"/>
                <w:color w:val="000000"/>
                <w:szCs w:val="24"/>
                <w:lang w:val="en-US"/>
              </w:rPr>
              <w:t xml:space="preserve">Budgetary commitments in millions </w:t>
            </w:r>
            <w:r w:rsidR="00B72061">
              <w:rPr>
                <w:rFonts w:cs="Arial"/>
                <w:color w:val="000000"/>
                <w:szCs w:val="24"/>
                <w:lang w:val="en-US"/>
              </w:rPr>
              <w:t>EUR</w:t>
            </w:r>
            <w:r w:rsidR="006B3971" w:rsidRPr="00B92503">
              <w:rPr>
                <w:rFonts w:cs="Arial"/>
                <w:color w:val="000000"/>
                <w:szCs w:val="24"/>
                <w:lang w:val="en-US"/>
              </w:rPr>
              <w:t xml:space="preserve"> in 2015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7C4D2B" w:rsidRPr="00B92503" w:rsidRDefault="007C4D2B" w:rsidP="00B72061">
            <w:pPr>
              <w:autoSpaceDE w:val="0"/>
              <w:autoSpaceDN w:val="0"/>
              <w:adjustRightInd w:val="0"/>
              <w:jc w:val="right"/>
              <w:rPr>
                <w:rFonts w:cs="Arial"/>
                <w:color w:val="000000"/>
                <w:szCs w:val="24"/>
                <w:lang w:val="en-US"/>
              </w:rPr>
            </w:pPr>
            <w:r w:rsidRPr="00B92503">
              <w:rPr>
                <w:rFonts w:cs="Arial"/>
                <w:color w:val="000000"/>
                <w:szCs w:val="24"/>
                <w:lang w:val="en-US"/>
              </w:rPr>
              <w:t xml:space="preserve">Budget care Insurance </w:t>
            </w:r>
          </w:p>
        </w:tc>
      </w:tr>
      <w:tr w:rsidR="006B7D12" w:rsidRPr="00B92503" w:rsidTr="00057F31">
        <w:trPr>
          <w:trHeight w:val="161"/>
        </w:trPr>
        <w:tc>
          <w:tcPr>
            <w:tcW w:w="45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7D12" w:rsidRPr="00B92503" w:rsidRDefault="006B7D12" w:rsidP="00B72061">
            <w:pPr>
              <w:autoSpaceDE w:val="0"/>
              <w:autoSpaceDN w:val="0"/>
              <w:adjustRightInd w:val="0"/>
              <w:jc w:val="left"/>
              <w:rPr>
                <w:rFonts w:cs="Arial"/>
                <w:color w:val="000000"/>
                <w:szCs w:val="24"/>
                <w:lang w:val="en-US"/>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B7D12" w:rsidRPr="00B92503" w:rsidRDefault="006B7D12" w:rsidP="00B72061">
            <w:pPr>
              <w:autoSpaceDE w:val="0"/>
              <w:autoSpaceDN w:val="0"/>
              <w:adjustRightInd w:val="0"/>
              <w:jc w:val="right"/>
              <w:rPr>
                <w:rFonts w:cs="Arial"/>
                <w:color w:val="000000"/>
                <w:szCs w:val="24"/>
                <w:lang w:val="en-US"/>
              </w:rPr>
            </w:pPr>
            <w:r w:rsidRPr="00B92503">
              <w:rPr>
                <w:rFonts w:cs="Arial"/>
                <w:color w:val="000000"/>
                <w:szCs w:val="24"/>
                <w:lang w:val="en-US"/>
              </w:rPr>
              <w:t>Domestic care</w:t>
            </w:r>
          </w:p>
        </w:tc>
      </w:tr>
      <w:tr w:rsidR="006B7D12" w:rsidRPr="00B92503" w:rsidTr="00057F31">
        <w:trPr>
          <w:trHeight w:val="300"/>
        </w:trPr>
        <w:tc>
          <w:tcPr>
            <w:tcW w:w="4569" w:type="dxa"/>
            <w:tcBorders>
              <w:top w:val="single" w:sz="6" w:space="0" w:color="auto"/>
              <w:left w:val="single" w:sz="6" w:space="0" w:color="auto"/>
              <w:bottom w:val="single" w:sz="6" w:space="0" w:color="auto"/>
              <w:right w:val="single" w:sz="6" w:space="0" w:color="auto"/>
            </w:tcBorders>
            <w:shd w:val="clear" w:color="auto" w:fill="auto"/>
            <w:vAlign w:val="center"/>
          </w:tcPr>
          <w:p w:rsidR="006B7D12" w:rsidRPr="00B92503" w:rsidRDefault="006B7D12" w:rsidP="00B72061">
            <w:pPr>
              <w:autoSpaceDE w:val="0"/>
              <w:autoSpaceDN w:val="0"/>
              <w:adjustRightInd w:val="0"/>
              <w:jc w:val="left"/>
              <w:rPr>
                <w:rFonts w:cs="Arial"/>
                <w:color w:val="000000"/>
                <w:szCs w:val="24"/>
                <w:lang w:val="en-US"/>
              </w:rPr>
            </w:pPr>
            <w:r w:rsidRPr="00B92503">
              <w:rPr>
                <w:rFonts w:cs="Arial"/>
                <w:color w:val="000000"/>
                <w:szCs w:val="24"/>
                <w:lang w:val="en-US"/>
              </w:rPr>
              <w:t>Euro</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tcPr>
          <w:p w:rsidR="006B7D12" w:rsidRPr="00B92503" w:rsidRDefault="006B7D12" w:rsidP="00B72061">
            <w:pPr>
              <w:autoSpaceDE w:val="0"/>
              <w:autoSpaceDN w:val="0"/>
              <w:adjustRightInd w:val="0"/>
              <w:jc w:val="right"/>
              <w:rPr>
                <w:rFonts w:cs="Arial"/>
                <w:color w:val="000000"/>
                <w:szCs w:val="24"/>
                <w:lang w:val="en-US"/>
              </w:rPr>
            </w:pPr>
            <w:r w:rsidRPr="00B92503">
              <w:rPr>
                <w:rFonts w:cs="Arial"/>
                <w:color w:val="000000"/>
                <w:szCs w:val="24"/>
              </w:rPr>
              <w:t>220</w:t>
            </w:r>
            <w:r w:rsidR="00B72061">
              <w:rPr>
                <w:rFonts w:cs="Arial"/>
                <w:color w:val="000000"/>
                <w:szCs w:val="24"/>
              </w:rPr>
              <w:t>,</w:t>
            </w:r>
            <w:r w:rsidRPr="00B92503">
              <w:rPr>
                <w:rFonts w:cs="Arial"/>
                <w:color w:val="000000"/>
                <w:szCs w:val="24"/>
              </w:rPr>
              <w:t>5</w:t>
            </w:r>
          </w:p>
        </w:tc>
      </w:tr>
    </w:tbl>
    <w:p w:rsidR="007C4D2B" w:rsidRPr="00B92503" w:rsidRDefault="006B7D12" w:rsidP="00B92503">
      <w:pPr>
        <w:rPr>
          <w:rFonts w:cs="Arial"/>
          <w:szCs w:val="24"/>
        </w:rPr>
      </w:pPr>
      <w:r w:rsidRPr="00B92503">
        <w:rPr>
          <w:rFonts w:cs="Arial"/>
          <w:szCs w:val="24"/>
        </w:rPr>
        <w:t>Source: national care insurance</w:t>
      </w:r>
      <w:r w:rsidR="0054311F" w:rsidRPr="00B92503">
        <w:rPr>
          <w:rStyle w:val="FootnoteReference"/>
          <w:rFonts w:cs="Arial"/>
          <w:sz w:val="24"/>
          <w:szCs w:val="24"/>
        </w:rPr>
        <w:footnoteReference w:id="69"/>
      </w:r>
      <w:r w:rsidRPr="00B92503">
        <w:rPr>
          <w:rFonts w:cs="Arial"/>
          <w:szCs w:val="24"/>
        </w:rPr>
        <w:t xml:space="preserve"> </w:t>
      </w:r>
    </w:p>
    <w:p w:rsidR="00163179" w:rsidRPr="00B92503" w:rsidRDefault="00163179" w:rsidP="00B92503">
      <w:pPr>
        <w:rPr>
          <w:rFonts w:cs="Arial"/>
          <w:szCs w:val="24"/>
        </w:rPr>
      </w:pPr>
    </w:p>
    <w:p w:rsidR="00FF192C" w:rsidRPr="00B92503" w:rsidRDefault="00FF192C" w:rsidP="00B92503">
      <w:pPr>
        <w:pStyle w:val="Heading2"/>
        <w:rPr>
          <w:rFonts w:cs="Arial"/>
          <w:szCs w:val="24"/>
        </w:rPr>
      </w:pPr>
      <w:bookmarkStart w:id="31" w:name="_TOC_250023"/>
      <w:bookmarkStart w:id="32" w:name="_Toc529874064"/>
      <w:bookmarkStart w:id="33" w:name="_Toc7612960"/>
      <w:r w:rsidRPr="00B92503">
        <w:rPr>
          <w:rFonts w:cs="Arial"/>
          <w:szCs w:val="24"/>
        </w:rPr>
        <w:t xml:space="preserve">What is the (official) involvement of persons with disabilities and/or their representative organisations in </w:t>
      </w:r>
      <w:bookmarkEnd w:id="31"/>
      <w:r w:rsidRPr="00B92503">
        <w:rPr>
          <w:rFonts w:cs="Arial"/>
          <w:szCs w:val="24"/>
        </w:rPr>
        <w:t>the development of the strategies and plans</w:t>
      </w:r>
      <w:bookmarkEnd w:id="32"/>
      <w:bookmarkEnd w:id="33"/>
    </w:p>
    <w:p w:rsidR="00057F31" w:rsidRPr="00B92503" w:rsidRDefault="00057F31" w:rsidP="00B92503">
      <w:pPr>
        <w:rPr>
          <w:rFonts w:cs="Arial"/>
          <w:szCs w:val="24"/>
        </w:rPr>
      </w:pPr>
    </w:p>
    <w:p w:rsidR="00647DE8" w:rsidRPr="00B92503" w:rsidRDefault="00ED0F4D" w:rsidP="00B92503">
      <w:pPr>
        <w:rPr>
          <w:rFonts w:cs="Arial"/>
          <w:szCs w:val="24"/>
        </w:rPr>
      </w:pPr>
      <w:r w:rsidRPr="00B92503">
        <w:rPr>
          <w:rFonts w:cs="Arial"/>
          <w:szCs w:val="24"/>
        </w:rPr>
        <w:t>In the preparation of the first national action plan, the government organised five working group meetings with the participation of people with disabilities and representatives of disability groups. However, people with disabilities and groups of representatives afterwards showed themselves to be dissatisfied with their participation in the plans drawn up and stayed away from a final press conference.</w:t>
      </w:r>
      <w:r w:rsidRPr="00B92503">
        <w:rPr>
          <w:rStyle w:val="FootnoteReference"/>
          <w:rFonts w:cs="Arial"/>
          <w:sz w:val="24"/>
          <w:szCs w:val="24"/>
        </w:rPr>
        <w:footnoteReference w:id="70"/>
      </w:r>
    </w:p>
    <w:p w:rsidR="001D02E0" w:rsidRPr="00B92503" w:rsidRDefault="001D02E0" w:rsidP="00B92503">
      <w:pPr>
        <w:rPr>
          <w:rFonts w:cs="Arial"/>
          <w:szCs w:val="24"/>
        </w:rPr>
      </w:pPr>
    </w:p>
    <w:p w:rsidR="00256857" w:rsidRPr="00B92503" w:rsidRDefault="00F22AA2" w:rsidP="00B92503">
      <w:pPr>
        <w:rPr>
          <w:rFonts w:cs="Arial"/>
          <w:szCs w:val="24"/>
        </w:rPr>
      </w:pPr>
      <w:r w:rsidRPr="00B92503">
        <w:rPr>
          <w:rFonts w:cs="Arial"/>
          <w:szCs w:val="24"/>
        </w:rPr>
        <w:t>In 2018 new working group</w:t>
      </w:r>
      <w:r w:rsidR="006B3971" w:rsidRPr="00B92503">
        <w:rPr>
          <w:rFonts w:cs="Arial"/>
          <w:szCs w:val="24"/>
        </w:rPr>
        <w:t>s</w:t>
      </w:r>
      <w:r w:rsidRPr="00B92503">
        <w:rPr>
          <w:rFonts w:cs="Arial"/>
          <w:szCs w:val="24"/>
        </w:rPr>
        <w:t xml:space="preserve"> on the next action plan ha</w:t>
      </w:r>
      <w:r w:rsidR="006B3971" w:rsidRPr="00B92503">
        <w:rPr>
          <w:rFonts w:cs="Arial"/>
          <w:szCs w:val="24"/>
        </w:rPr>
        <w:t>ve</w:t>
      </w:r>
      <w:r w:rsidRPr="00B92503">
        <w:rPr>
          <w:rFonts w:cs="Arial"/>
          <w:szCs w:val="24"/>
        </w:rPr>
        <w:t xml:space="preserve"> been established under participation of person with disabilities.</w:t>
      </w:r>
    </w:p>
    <w:p w:rsidR="008E4ACD" w:rsidRPr="00B92503" w:rsidRDefault="008E4ACD" w:rsidP="00B72061">
      <w:pPr>
        <w:pStyle w:val="Heading1"/>
      </w:pPr>
      <w:bookmarkStart w:id="34" w:name="_TOC_250022"/>
      <w:bookmarkStart w:id="35" w:name="_Toc529874065"/>
      <w:bookmarkStart w:id="36" w:name="_Toc7612961"/>
      <w:r w:rsidRPr="00B92503">
        <w:lastRenderedPageBreak/>
        <w:t xml:space="preserve">Implementation and </w:t>
      </w:r>
      <w:bookmarkEnd w:id="34"/>
      <w:r w:rsidRPr="00B92503">
        <w:t>monitoring</w:t>
      </w:r>
      <w:bookmarkEnd w:id="35"/>
      <w:bookmarkEnd w:id="36"/>
    </w:p>
    <w:p w:rsidR="001D02E0" w:rsidRPr="00B92503" w:rsidRDefault="001D02E0" w:rsidP="00B92503">
      <w:pPr>
        <w:rPr>
          <w:rFonts w:cs="Arial"/>
          <w:szCs w:val="24"/>
          <w:lang w:bidi="en-US"/>
        </w:rPr>
      </w:pPr>
    </w:p>
    <w:p w:rsidR="00286ABC" w:rsidRPr="00B92503" w:rsidRDefault="00286ABC" w:rsidP="00B72061">
      <w:r w:rsidRPr="00B92503">
        <w:t xml:space="preserve">The national </w:t>
      </w:r>
      <w:r w:rsidR="00E1309A" w:rsidRPr="00B92503">
        <w:t>advisory</w:t>
      </w:r>
      <w:r w:rsidRPr="00B92503">
        <w:t xml:space="preserve"> and </w:t>
      </w:r>
      <w:r w:rsidR="000C141B" w:rsidRPr="00B92503">
        <w:t>counselling</w:t>
      </w:r>
      <w:r w:rsidRPr="00B92503">
        <w:t xml:space="preserve"> office </w:t>
      </w:r>
      <w:r w:rsidR="006E5168" w:rsidRPr="00B92503">
        <w:t>(INFO-HANDIC</w:t>
      </w:r>
      <w:r w:rsidR="00D92EDA" w:rsidRPr="00B92503">
        <w:t xml:space="preserve">AP) </w:t>
      </w:r>
      <w:r w:rsidRPr="00B92503">
        <w:t>on disability deplores that there is no organi</w:t>
      </w:r>
      <w:r w:rsidR="004545E2" w:rsidRPr="00B92503">
        <w:t>sa</w:t>
      </w:r>
      <w:r w:rsidRPr="00B92503">
        <w:t>tion in Luxembourg that promotes independent living.</w:t>
      </w:r>
      <w:r w:rsidRPr="00B92503">
        <w:rPr>
          <w:rStyle w:val="FootnoteReference"/>
          <w:sz w:val="24"/>
        </w:rPr>
        <w:footnoteReference w:id="71"/>
      </w:r>
    </w:p>
    <w:p w:rsidR="001D02E0" w:rsidRPr="00B92503" w:rsidRDefault="001D02E0" w:rsidP="00B92503">
      <w:pPr>
        <w:pStyle w:val="BodyText"/>
        <w:ind w:left="221" w:right="349"/>
      </w:pPr>
    </w:p>
    <w:p w:rsidR="00286ABC" w:rsidRPr="00B92503" w:rsidRDefault="00791975" w:rsidP="00B92503">
      <w:pPr>
        <w:rPr>
          <w:rFonts w:cs="Arial"/>
          <w:szCs w:val="24"/>
        </w:rPr>
      </w:pPr>
      <w:r w:rsidRPr="00B92503">
        <w:rPr>
          <w:rFonts w:cs="Arial"/>
          <w:szCs w:val="24"/>
        </w:rPr>
        <w:t xml:space="preserve">No corresponding calls for proposals to implement the </w:t>
      </w:r>
      <w:r w:rsidR="004545E2" w:rsidRPr="00B92503">
        <w:rPr>
          <w:rFonts w:cs="Arial"/>
          <w:szCs w:val="24"/>
        </w:rPr>
        <w:t>i</w:t>
      </w:r>
      <w:r w:rsidRPr="00B92503">
        <w:rPr>
          <w:rFonts w:cs="Arial"/>
          <w:szCs w:val="24"/>
        </w:rPr>
        <w:t xml:space="preserve">ndependent </w:t>
      </w:r>
      <w:r w:rsidR="004545E2" w:rsidRPr="00B92503">
        <w:rPr>
          <w:rFonts w:cs="Arial"/>
          <w:szCs w:val="24"/>
        </w:rPr>
        <w:t>l</w:t>
      </w:r>
      <w:r w:rsidRPr="00B92503">
        <w:rPr>
          <w:rFonts w:cs="Arial"/>
          <w:szCs w:val="24"/>
        </w:rPr>
        <w:t>iving concept in Luxembourg could be identified</w:t>
      </w:r>
      <w:r w:rsidR="00B72061">
        <w:rPr>
          <w:rFonts w:cs="Arial"/>
          <w:szCs w:val="24"/>
        </w:rPr>
        <w:t>.</w:t>
      </w:r>
      <w:r w:rsidRPr="00B92503">
        <w:rPr>
          <w:rStyle w:val="FootnoteReference"/>
          <w:rFonts w:cs="Arial"/>
          <w:sz w:val="24"/>
          <w:szCs w:val="24"/>
        </w:rPr>
        <w:footnoteReference w:id="72"/>
      </w:r>
      <w:r w:rsidRPr="00B92503">
        <w:rPr>
          <w:rFonts w:cs="Arial"/>
          <w:szCs w:val="24"/>
        </w:rPr>
        <w:t xml:space="preserve"> (</w:t>
      </w:r>
      <w:r w:rsidR="00B72061">
        <w:rPr>
          <w:rFonts w:cs="Arial"/>
          <w:szCs w:val="24"/>
        </w:rPr>
        <w:t>N</w:t>
      </w:r>
      <w:r w:rsidRPr="00B92503">
        <w:rPr>
          <w:rFonts w:cs="Arial"/>
          <w:szCs w:val="24"/>
        </w:rPr>
        <w:t xml:space="preserve">o relevant funding calls for proposals concerning the transition from institutional care to community-based living by national, regional or local government and/or managing authorities under ESIF, since 2013, concerning the transition from institutional care to community-based living.) </w:t>
      </w:r>
    </w:p>
    <w:p w:rsidR="001D02E0" w:rsidRPr="00B92503" w:rsidRDefault="001D02E0" w:rsidP="00B92503">
      <w:pPr>
        <w:rPr>
          <w:rFonts w:cs="Arial"/>
          <w:szCs w:val="24"/>
        </w:rPr>
      </w:pPr>
    </w:p>
    <w:p w:rsidR="006178BC" w:rsidRPr="00B92503" w:rsidRDefault="000230FB" w:rsidP="00B92503">
      <w:pPr>
        <w:rPr>
          <w:rFonts w:cs="Arial"/>
          <w:szCs w:val="24"/>
        </w:rPr>
      </w:pPr>
      <w:r w:rsidRPr="00B92503">
        <w:rPr>
          <w:rFonts w:cs="Arial"/>
          <w:szCs w:val="24"/>
        </w:rPr>
        <w:t>The ESF</w:t>
      </w:r>
      <w:r w:rsidRPr="00B92503">
        <w:rPr>
          <w:rStyle w:val="FootnoteReference"/>
          <w:rFonts w:cs="Arial"/>
          <w:sz w:val="24"/>
          <w:szCs w:val="24"/>
        </w:rPr>
        <w:footnoteReference w:id="73"/>
      </w:r>
      <w:r w:rsidRPr="00B92503">
        <w:rPr>
          <w:rFonts w:cs="Arial"/>
          <w:szCs w:val="24"/>
        </w:rPr>
        <w:t xml:space="preserve"> lists 20 projects funded in Luxembourg but none of these projects covers the transition from institutional care to community-based living. </w:t>
      </w:r>
      <w:r w:rsidR="006178BC" w:rsidRPr="00B92503">
        <w:rPr>
          <w:rFonts w:cs="Arial"/>
          <w:szCs w:val="24"/>
        </w:rPr>
        <w:t>One project may be linked to independent living “the Autism Ambulance Project”, funded wit</w:t>
      </w:r>
      <w:r w:rsidR="00AA45B8" w:rsidRPr="00B92503">
        <w:rPr>
          <w:rFonts w:cs="Arial"/>
          <w:szCs w:val="24"/>
        </w:rPr>
        <w:t>h</w:t>
      </w:r>
      <w:r w:rsidR="006178BC" w:rsidRPr="00B92503">
        <w:rPr>
          <w:rFonts w:cs="Arial"/>
          <w:szCs w:val="24"/>
        </w:rPr>
        <w:t xml:space="preserve"> a total: of </w:t>
      </w:r>
      <w:r w:rsidR="00B72061">
        <w:rPr>
          <w:rFonts w:cs="Arial"/>
          <w:szCs w:val="24"/>
        </w:rPr>
        <w:t xml:space="preserve">EUR </w:t>
      </w:r>
      <w:r w:rsidR="006178BC" w:rsidRPr="00B92503">
        <w:rPr>
          <w:rFonts w:cs="Arial"/>
          <w:szCs w:val="24"/>
        </w:rPr>
        <w:t>499,900</w:t>
      </w:r>
      <w:r w:rsidR="00B72061">
        <w:rPr>
          <w:rFonts w:cs="Arial"/>
          <w:szCs w:val="24"/>
        </w:rPr>
        <w:t>,</w:t>
      </w:r>
      <w:r w:rsidR="006178BC" w:rsidRPr="00B92503">
        <w:rPr>
          <w:rFonts w:cs="Arial"/>
          <w:szCs w:val="24"/>
        </w:rPr>
        <w:t>00 (ESF share 50</w:t>
      </w:r>
      <w:r w:rsidR="00B72061">
        <w:rPr>
          <w:rFonts w:cs="Arial"/>
          <w:szCs w:val="24"/>
        </w:rPr>
        <w:t xml:space="preserve"> </w:t>
      </w:r>
      <w:r w:rsidR="006178BC" w:rsidRPr="00B92503">
        <w:rPr>
          <w:rFonts w:cs="Arial"/>
          <w:szCs w:val="24"/>
        </w:rPr>
        <w:t xml:space="preserve">%: </w:t>
      </w:r>
      <w:r w:rsidR="00B72061">
        <w:rPr>
          <w:rFonts w:cs="Arial"/>
          <w:szCs w:val="24"/>
        </w:rPr>
        <w:t xml:space="preserve">EUR </w:t>
      </w:r>
      <w:r w:rsidR="006178BC" w:rsidRPr="00B92503">
        <w:rPr>
          <w:rFonts w:cs="Arial"/>
          <w:szCs w:val="24"/>
        </w:rPr>
        <w:t>249,950</w:t>
      </w:r>
      <w:r w:rsidR="00B72061">
        <w:rPr>
          <w:rFonts w:cs="Arial"/>
          <w:szCs w:val="24"/>
        </w:rPr>
        <w:t>,</w:t>
      </w:r>
      <w:r w:rsidR="006178BC" w:rsidRPr="00B92503">
        <w:rPr>
          <w:rFonts w:cs="Arial"/>
          <w:szCs w:val="24"/>
        </w:rPr>
        <w:t>00); Duration 01/01/2013 - 31/12/2015</w:t>
      </w:r>
      <w:r w:rsidR="007C46AB">
        <w:rPr>
          <w:rFonts w:cs="Arial"/>
          <w:szCs w:val="24"/>
        </w:rPr>
        <w:t>.</w:t>
      </w:r>
    </w:p>
    <w:p w:rsidR="001D02E0" w:rsidRPr="00B92503" w:rsidRDefault="001D02E0" w:rsidP="00B92503">
      <w:pPr>
        <w:rPr>
          <w:rFonts w:cs="Arial"/>
          <w:szCs w:val="24"/>
        </w:rPr>
      </w:pPr>
    </w:p>
    <w:p w:rsidR="000230FB" w:rsidRPr="00B92503" w:rsidRDefault="006178BC" w:rsidP="00B92503">
      <w:pPr>
        <w:rPr>
          <w:rFonts w:cs="Arial"/>
          <w:szCs w:val="24"/>
        </w:rPr>
      </w:pPr>
      <w:r w:rsidRPr="00B92503">
        <w:rPr>
          <w:rFonts w:cs="Arial"/>
          <w:szCs w:val="24"/>
        </w:rPr>
        <w:t>The ambulatory intervention service project focuses on support in open settings and the development of social skills for people with pervasive developmental disorders (autism spectrum</w:t>
      </w:r>
      <w:r w:rsidR="006F15C2" w:rsidRPr="00B92503">
        <w:rPr>
          <w:rFonts w:cs="Arial"/>
          <w:szCs w:val="24"/>
        </w:rPr>
        <w:t xml:space="preserve"> disorder</w:t>
      </w:r>
      <w:r w:rsidRPr="00B92503">
        <w:rPr>
          <w:rFonts w:cs="Arial"/>
          <w:szCs w:val="24"/>
        </w:rPr>
        <w:t xml:space="preserve">), and more specifically Asperger's syndrome. The </w:t>
      </w:r>
      <w:proofErr w:type="gramStart"/>
      <w:r w:rsidRPr="00B92503">
        <w:rPr>
          <w:rFonts w:cs="Arial"/>
          <w:szCs w:val="24"/>
        </w:rPr>
        <w:t>vast majority</w:t>
      </w:r>
      <w:proofErr w:type="gramEnd"/>
      <w:r w:rsidRPr="00B92503">
        <w:rPr>
          <w:rFonts w:cs="Arial"/>
          <w:szCs w:val="24"/>
        </w:rPr>
        <w:t xml:space="preserve"> of other projects are in the field of </w:t>
      </w:r>
      <w:r w:rsidR="00AA45B8" w:rsidRPr="00B92503">
        <w:rPr>
          <w:rFonts w:cs="Arial"/>
          <w:szCs w:val="24"/>
        </w:rPr>
        <w:t xml:space="preserve">labour market and </w:t>
      </w:r>
      <w:r w:rsidRPr="00B92503">
        <w:rPr>
          <w:rFonts w:cs="Arial"/>
          <w:szCs w:val="24"/>
        </w:rPr>
        <w:t>employment.</w:t>
      </w:r>
    </w:p>
    <w:p w:rsidR="00791975" w:rsidRPr="00B92503" w:rsidRDefault="00791975" w:rsidP="00B92503">
      <w:pPr>
        <w:rPr>
          <w:rFonts w:cs="Arial"/>
          <w:szCs w:val="24"/>
        </w:rPr>
      </w:pPr>
    </w:p>
    <w:p w:rsidR="008E4ACD" w:rsidRPr="00B92503" w:rsidRDefault="008E4ACD" w:rsidP="00B92503">
      <w:pPr>
        <w:pStyle w:val="Heading2"/>
        <w:rPr>
          <w:rFonts w:cs="Arial"/>
          <w:szCs w:val="24"/>
        </w:rPr>
      </w:pPr>
      <w:bookmarkStart w:id="37" w:name="_TOC_250021"/>
      <w:bookmarkStart w:id="38" w:name="_Toc529874066"/>
      <w:bookmarkStart w:id="39" w:name="_Toc7612962"/>
      <w:r w:rsidRPr="00B92503">
        <w:rPr>
          <w:rFonts w:cs="Arial"/>
          <w:szCs w:val="24"/>
        </w:rPr>
        <w:t xml:space="preserve">Summary of relevant calls for </w:t>
      </w:r>
      <w:bookmarkEnd w:id="37"/>
      <w:r w:rsidRPr="00B92503">
        <w:rPr>
          <w:rFonts w:cs="Arial"/>
          <w:szCs w:val="24"/>
        </w:rPr>
        <w:t>proposals</w:t>
      </w:r>
      <w:bookmarkEnd w:id="38"/>
      <w:bookmarkEnd w:id="39"/>
    </w:p>
    <w:p w:rsidR="001D02E0" w:rsidRPr="00B92503" w:rsidRDefault="001D02E0" w:rsidP="00B92503">
      <w:pPr>
        <w:ind w:left="567" w:hanging="567"/>
        <w:rPr>
          <w:rFonts w:cs="Arial"/>
          <w:szCs w:val="24"/>
        </w:rPr>
      </w:pPr>
    </w:p>
    <w:p w:rsidR="00B5485B" w:rsidRPr="00B92503" w:rsidRDefault="008221F3" w:rsidP="00B92503">
      <w:pPr>
        <w:ind w:left="567" w:hanging="567"/>
        <w:rPr>
          <w:rFonts w:cs="Arial"/>
          <w:szCs w:val="24"/>
        </w:rPr>
      </w:pPr>
      <w:r w:rsidRPr="00B92503">
        <w:rPr>
          <w:rFonts w:cs="Arial"/>
          <w:szCs w:val="24"/>
        </w:rPr>
        <w:t>No relevant information available</w:t>
      </w:r>
      <w:r w:rsidR="00B72061">
        <w:rPr>
          <w:rFonts w:cs="Arial"/>
          <w:szCs w:val="24"/>
        </w:rPr>
        <w:t>.</w:t>
      </w:r>
    </w:p>
    <w:p w:rsidR="001D02E0" w:rsidRPr="00B92503" w:rsidRDefault="001D02E0" w:rsidP="00B72061">
      <w:bookmarkStart w:id="40" w:name="_Toc529874067"/>
    </w:p>
    <w:p w:rsidR="00B5485B" w:rsidRPr="00B92503" w:rsidRDefault="00B5485B" w:rsidP="00B92503">
      <w:pPr>
        <w:pStyle w:val="Heading2"/>
        <w:rPr>
          <w:rFonts w:cs="Arial"/>
          <w:szCs w:val="24"/>
        </w:rPr>
      </w:pPr>
      <w:bookmarkStart w:id="41" w:name="_TOC_250020"/>
      <w:bookmarkStart w:id="42" w:name="_Toc7612963"/>
      <w:r w:rsidRPr="00B92503">
        <w:rPr>
          <w:rFonts w:cs="Arial"/>
          <w:szCs w:val="24"/>
        </w:rPr>
        <w:t xml:space="preserve">Summary of relevant projects </w:t>
      </w:r>
      <w:bookmarkEnd w:id="41"/>
      <w:r w:rsidRPr="00B92503">
        <w:rPr>
          <w:rFonts w:cs="Arial"/>
          <w:szCs w:val="24"/>
        </w:rPr>
        <w:t>funded</w:t>
      </w:r>
      <w:bookmarkEnd w:id="40"/>
      <w:bookmarkEnd w:id="42"/>
    </w:p>
    <w:p w:rsidR="001D02E0" w:rsidRPr="00B92503" w:rsidRDefault="001D02E0" w:rsidP="00B92503">
      <w:pPr>
        <w:ind w:left="567" w:hanging="567"/>
        <w:rPr>
          <w:rFonts w:cs="Arial"/>
          <w:szCs w:val="24"/>
        </w:rPr>
      </w:pPr>
    </w:p>
    <w:p w:rsidR="00B5485B" w:rsidRPr="00B92503" w:rsidRDefault="008221F3" w:rsidP="00B92503">
      <w:pPr>
        <w:ind w:left="567" w:hanging="567"/>
        <w:rPr>
          <w:rFonts w:cs="Arial"/>
          <w:szCs w:val="24"/>
        </w:rPr>
      </w:pPr>
      <w:r w:rsidRPr="00B92503">
        <w:rPr>
          <w:rFonts w:cs="Arial"/>
          <w:szCs w:val="24"/>
        </w:rPr>
        <w:t>No re</w:t>
      </w:r>
      <w:r w:rsidR="00B72061">
        <w:rPr>
          <w:rFonts w:cs="Arial"/>
          <w:szCs w:val="24"/>
        </w:rPr>
        <w:t>l</w:t>
      </w:r>
      <w:r w:rsidRPr="00B92503">
        <w:rPr>
          <w:rFonts w:cs="Arial"/>
          <w:szCs w:val="24"/>
        </w:rPr>
        <w:t>evant information available</w:t>
      </w:r>
      <w:r w:rsidR="00B72061">
        <w:rPr>
          <w:rFonts w:cs="Arial"/>
          <w:szCs w:val="24"/>
        </w:rPr>
        <w:t>.</w:t>
      </w:r>
    </w:p>
    <w:p w:rsidR="001D02E0" w:rsidRPr="00B92503" w:rsidRDefault="001D02E0" w:rsidP="00B72061">
      <w:bookmarkStart w:id="43" w:name="_Toc529874068"/>
    </w:p>
    <w:p w:rsidR="008E4ACD" w:rsidRPr="00B92503" w:rsidRDefault="008E4ACD" w:rsidP="00B92503">
      <w:pPr>
        <w:pStyle w:val="Heading2"/>
        <w:rPr>
          <w:rFonts w:cs="Arial"/>
          <w:szCs w:val="24"/>
        </w:rPr>
      </w:pPr>
      <w:bookmarkStart w:id="44" w:name="_TOC_250019"/>
      <w:bookmarkStart w:id="45" w:name="_Toc7612964"/>
      <w:r w:rsidRPr="00B92503">
        <w:rPr>
          <w:rFonts w:cs="Arial"/>
          <w:szCs w:val="24"/>
        </w:rPr>
        <w:t xml:space="preserve">Overview of other relevant measures since </w:t>
      </w:r>
      <w:bookmarkEnd w:id="44"/>
      <w:r w:rsidRPr="00B92503">
        <w:rPr>
          <w:rFonts w:cs="Arial"/>
          <w:szCs w:val="24"/>
        </w:rPr>
        <w:t>2013</w:t>
      </w:r>
      <w:bookmarkEnd w:id="43"/>
      <w:bookmarkEnd w:id="45"/>
    </w:p>
    <w:p w:rsidR="00791B67" w:rsidRPr="00B92503" w:rsidRDefault="00791B67" w:rsidP="00B92503">
      <w:pPr>
        <w:rPr>
          <w:rFonts w:cs="Arial"/>
          <w:szCs w:val="24"/>
        </w:rPr>
      </w:pPr>
    </w:p>
    <w:p w:rsidR="008E4ACD" w:rsidRPr="00B92503" w:rsidRDefault="00791B67" w:rsidP="00B92503">
      <w:pPr>
        <w:rPr>
          <w:rFonts w:cs="Arial"/>
          <w:szCs w:val="24"/>
        </w:rPr>
      </w:pPr>
      <w:r w:rsidRPr="00B92503">
        <w:rPr>
          <w:rFonts w:cs="Arial"/>
          <w:szCs w:val="24"/>
        </w:rPr>
        <w:t xml:space="preserve">There were no legislative measures such as caps in the size of residential facilities, </w:t>
      </w:r>
      <w:r w:rsidR="006B3971" w:rsidRPr="00B92503">
        <w:rPr>
          <w:rFonts w:cs="Arial"/>
          <w:szCs w:val="24"/>
        </w:rPr>
        <w:t xml:space="preserve">or introduction the </w:t>
      </w:r>
      <w:r w:rsidRPr="00B92503">
        <w:rPr>
          <w:rFonts w:cs="Arial"/>
          <w:szCs w:val="24"/>
        </w:rPr>
        <w:t>right to personal assistance in Luxembourg</w:t>
      </w:r>
      <w:r w:rsidR="006B3971" w:rsidRPr="00B92503">
        <w:rPr>
          <w:rFonts w:cs="Arial"/>
          <w:szCs w:val="24"/>
        </w:rPr>
        <w:t>.</w:t>
      </w:r>
      <w:r w:rsidRPr="00B92503">
        <w:rPr>
          <w:rFonts w:cs="Arial"/>
          <w:szCs w:val="24"/>
        </w:rPr>
        <w:t xml:space="preserve"> The development of personal assistance schemes is under discussion but still there is no individualised budget system in Luxembourg; Sector capacity building has mainly been based in inclusion of individuals with disabilities in mainstream structures; Training and development programmes focussed on </w:t>
      </w:r>
      <w:r w:rsidR="00AA45B8" w:rsidRPr="00B92503">
        <w:rPr>
          <w:rFonts w:cs="Arial"/>
          <w:szCs w:val="24"/>
        </w:rPr>
        <w:t xml:space="preserve">labour market and </w:t>
      </w:r>
      <w:r w:rsidRPr="00B92503">
        <w:rPr>
          <w:rFonts w:cs="Arial"/>
          <w:szCs w:val="24"/>
        </w:rPr>
        <w:t>employment (COSPH)</w:t>
      </w:r>
      <w:r w:rsidR="00B72061">
        <w:rPr>
          <w:rFonts w:cs="Arial"/>
          <w:szCs w:val="24"/>
        </w:rPr>
        <w:t>;</w:t>
      </w:r>
      <w:r w:rsidR="00AA45B8" w:rsidRPr="00B92503">
        <w:rPr>
          <w:rStyle w:val="FootnoteReference"/>
          <w:rFonts w:cs="Arial"/>
          <w:sz w:val="24"/>
          <w:szCs w:val="24"/>
        </w:rPr>
        <w:footnoteReference w:id="74"/>
      </w:r>
      <w:r w:rsidRPr="00B92503">
        <w:rPr>
          <w:rFonts w:cs="Arial"/>
          <w:szCs w:val="24"/>
        </w:rPr>
        <w:t xml:space="preserve"> </w:t>
      </w:r>
      <w:r w:rsidRPr="00B92503">
        <w:rPr>
          <w:rFonts w:cs="Arial"/>
          <w:szCs w:val="24"/>
        </w:rPr>
        <w:lastRenderedPageBreak/>
        <w:t xml:space="preserve">Research or </w:t>
      </w:r>
      <w:r w:rsidR="0053176C" w:rsidRPr="00B92503">
        <w:rPr>
          <w:rFonts w:cs="Arial"/>
          <w:szCs w:val="24"/>
        </w:rPr>
        <w:t>c</w:t>
      </w:r>
      <w:r w:rsidRPr="00B92503">
        <w:rPr>
          <w:rFonts w:cs="Arial"/>
          <w:szCs w:val="24"/>
        </w:rPr>
        <w:t xml:space="preserve">ampaigns to improve public attitudes </w:t>
      </w:r>
      <w:r w:rsidR="0053176C" w:rsidRPr="00B92503">
        <w:rPr>
          <w:rFonts w:cs="Arial"/>
          <w:szCs w:val="24"/>
        </w:rPr>
        <w:t xml:space="preserve">exist but particularly issuing </w:t>
      </w:r>
      <w:r w:rsidRPr="00B92503">
        <w:rPr>
          <w:rFonts w:cs="Arial"/>
          <w:szCs w:val="24"/>
        </w:rPr>
        <w:t xml:space="preserve">to the inclusion of persons with disabilities in the context of independent living couldn’t be found; </w:t>
      </w:r>
      <w:r w:rsidR="00AA45B8" w:rsidRPr="00B92503">
        <w:rPr>
          <w:rFonts w:cs="Arial"/>
          <w:szCs w:val="24"/>
        </w:rPr>
        <w:t>a</w:t>
      </w:r>
      <w:r w:rsidRPr="00B92503">
        <w:rPr>
          <w:rFonts w:cs="Arial"/>
          <w:szCs w:val="24"/>
        </w:rPr>
        <w:t>lso no improvements could be observed in data collection.</w:t>
      </w:r>
    </w:p>
    <w:p w:rsidR="00B5485B" w:rsidRPr="00B92503" w:rsidRDefault="00B5485B" w:rsidP="00B92503">
      <w:pPr>
        <w:rPr>
          <w:rFonts w:cs="Arial"/>
          <w:b/>
          <w:szCs w:val="24"/>
        </w:rPr>
      </w:pPr>
    </w:p>
    <w:p w:rsidR="008E4ACD" w:rsidRPr="00B92503" w:rsidRDefault="008E4ACD" w:rsidP="00B92503">
      <w:pPr>
        <w:pStyle w:val="Heading2"/>
        <w:rPr>
          <w:rFonts w:cs="Arial"/>
          <w:szCs w:val="24"/>
        </w:rPr>
      </w:pPr>
      <w:bookmarkStart w:id="46" w:name="_TOC_250018"/>
      <w:bookmarkStart w:id="47" w:name="_Toc529874069"/>
      <w:bookmarkStart w:id="48" w:name="_Toc7612965"/>
      <w:r w:rsidRPr="00B92503">
        <w:rPr>
          <w:rFonts w:cs="Arial"/>
          <w:szCs w:val="24"/>
        </w:rPr>
        <w:t>Monitoring mechanism</w:t>
      </w:r>
      <w:r w:rsidR="00B5485B" w:rsidRPr="00B92503">
        <w:rPr>
          <w:rFonts w:cs="Arial"/>
          <w:szCs w:val="24"/>
        </w:rPr>
        <w:t>s</w:t>
      </w:r>
      <w:r w:rsidRPr="00B92503">
        <w:rPr>
          <w:rFonts w:cs="Arial"/>
          <w:szCs w:val="24"/>
        </w:rPr>
        <w:t xml:space="preserve"> and </w:t>
      </w:r>
      <w:bookmarkEnd w:id="46"/>
      <w:r w:rsidRPr="00B92503">
        <w:rPr>
          <w:rFonts w:cs="Arial"/>
          <w:szCs w:val="24"/>
        </w:rPr>
        <w:t>approach</w:t>
      </w:r>
      <w:r w:rsidR="00B5485B" w:rsidRPr="00B92503">
        <w:rPr>
          <w:rFonts w:cs="Arial"/>
          <w:szCs w:val="24"/>
        </w:rPr>
        <w:t>es</w:t>
      </w:r>
      <w:bookmarkEnd w:id="47"/>
      <w:bookmarkEnd w:id="48"/>
    </w:p>
    <w:p w:rsidR="001D02E0" w:rsidRPr="00B92503" w:rsidRDefault="001D02E0" w:rsidP="00B92503">
      <w:pPr>
        <w:rPr>
          <w:rFonts w:cs="Arial"/>
          <w:szCs w:val="24"/>
        </w:rPr>
      </w:pPr>
    </w:p>
    <w:p w:rsidR="001D483A" w:rsidRPr="00B92503" w:rsidRDefault="001D483A" w:rsidP="00B92503">
      <w:pPr>
        <w:rPr>
          <w:rFonts w:cs="Arial"/>
          <w:szCs w:val="24"/>
        </w:rPr>
      </w:pPr>
      <w:r w:rsidRPr="00B92503">
        <w:rPr>
          <w:rFonts w:cs="Arial"/>
          <w:szCs w:val="24"/>
        </w:rPr>
        <w:t xml:space="preserve">In Luxembourg, there has not been established a dedicated </w:t>
      </w:r>
      <w:r w:rsidR="008D2484" w:rsidRPr="00B92503">
        <w:rPr>
          <w:rFonts w:cs="Arial"/>
          <w:szCs w:val="24"/>
        </w:rPr>
        <w:t xml:space="preserve">independent </w:t>
      </w:r>
      <w:r w:rsidRPr="00B92503">
        <w:rPr>
          <w:rFonts w:cs="Arial"/>
          <w:szCs w:val="24"/>
        </w:rPr>
        <w:t xml:space="preserve">mechanism to monitor the transition from institutional care to community-based living. </w:t>
      </w:r>
    </w:p>
    <w:p w:rsidR="001D02E0" w:rsidRPr="00B92503" w:rsidRDefault="001D02E0" w:rsidP="00B92503">
      <w:pPr>
        <w:rPr>
          <w:rFonts w:cs="Arial"/>
          <w:szCs w:val="24"/>
        </w:rPr>
      </w:pPr>
    </w:p>
    <w:p w:rsidR="001D483A" w:rsidRPr="00B92503" w:rsidRDefault="001D483A" w:rsidP="00B92503">
      <w:pPr>
        <w:rPr>
          <w:rFonts w:cs="Arial"/>
          <w:szCs w:val="24"/>
        </w:rPr>
      </w:pPr>
      <w:r w:rsidRPr="00B92503">
        <w:rPr>
          <w:rFonts w:cs="Arial"/>
          <w:szCs w:val="24"/>
        </w:rPr>
        <w:t xml:space="preserve">Monitoring transition from institutional care to community-based living is not included in the yearly activity reports of the concerned ministries. </w:t>
      </w:r>
    </w:p>
    <w:p w:rsidR="001D02E0" w:rsidRPr="00B92503" w:rsidRDefault="001D02E0" w:rsidP="00B92503">
      <w:pPr>
        <w:rPr>
          <w:rFonts w:cs="Arial"/>
          <w:szCs w:val="24"/>
        </w:rPr>
      </w:pPr>
    </w:p>
    <w:p w:rsidR="00622FC0" w:rsidRPr="00B92503" w:rsidRDefault="00046790" w:rsidP="00B92503">
      <w:pPr>
        <w:rPr>
          <w:rFonts w:cs="Arial"/>
          <w:szCs w:val="24"/>
        </w:rPr>
      </w:pPr>
      <w:r w:rsidRPr="00B92503">
        <w:rPr>
          <w:rFonts w:cs="Arial"/>
          <w:szCs w:val="24"/>
        </w:rPr>
        <w:t xml:space="preserve">There is no relevant information available </w:t>
      </w:r>
      <w:r w:rsidR="001D483A" w:rsidRPr="00B92503">
        <w:rPr>
          <w:rFonts w:cs="Arial"/>
          <w:szCs w:val="24"/>
        </w:rPr>
        <w:t>on the involvement of persons with disabilities and their representative organisations in monitoring</w:t>
      </w:r>
      <w:r w:rsidRPr="00B92503">
        <w:rPr>
          <w:rFonts w:cs="Arial"/>
          <w:szCs w:val="24"/>
        </w:rPr>
        <w:t xml:space="preserve"> mechanisms and approaches of independent living</w:t>
      </w:r>
      <w:r w:rsidR="001D483A" w:rsidRPr="00B92503">
        <w:rPr>
          <w:rFonts w:cs="Arial"/>
          <w:szCs w:val="24"/>
        </w:rPr>
        <w:t>.</w:t>
      </w:r>
      <w:r w:rsidR="008221F3" w:rsidRPr="00B92503">
        <w:rPr>
          <w:rFonts w:cs="Arial"/>
          <w:szCs w:val="24"/>
        </w:rPr>
        <w:t xml:space="preserve"> </w:t>
      </w:r>
    </w:p>
    <w:p w:rsidR="00965216" w:rsidRPr="00B92503" w:rsidRDefault="00965216" w:rsidP="00B92503">
      <w:pPr>
        <w:pStyle w:val="BodyText"/>
        <w:ind w:left="221" w:right="350"/>
      </w:pPr>
    </w:p>
    <w:p w:rsidR="008E4ACD" w:rsidRPr="00B92503" w:rsidRDefault="008E4ACD" w:rsidP="00B92503">
      <w:pPr>
        <w:pStyle w:val="Heading3"/>
        <w:rPr>
          <w:rFonts w:cs="Arial"/>
          <w:szCs w:val="24"/>
        </w:rPr>
      </w:pPr>
      <w:r w:rsidRPr="00B92503">
        <w:rPr>
          <w:rFonts w:cs="Arial"/>
          <w:szCs w:val="24"/>
        </w:rPr>
        <w:t>Monitoring mechanism(s)</w:t>
      </w:r>
    </w:p>
    <w:p w:rsidR="001D02E0" w:rsidRPr="00B92503" w:rsidRDefault="001D02E0" w:rsidP="00B92503">
      <w:pPr>
        <w:rPr>
          <w:rFonts w:cs="Arial"/>
          <w:szCs w:val="24"/>
        </w:rPr>
      </w:pPr>
    </w:p>
    <w:p w:rsidR="008E4ACD" w:rsidRPr="00B92503" w:rsidRDefault="00AC0AEE" w:rsidP="00B92503">
      <w:pPr>
        <w:rPr>
          <w:rFonts w:cs="Arial"/>
          <w:szCs w:val="24"/>
        </w:rPr>
      </w:pPr>
      <w:r w:rsidRPr="00B92503">
        <w:rPr>
          <w:rFonts w:cs="Arial"/>
          <w:szCs w:val="24"/>
        </w:rPr>
        <w:t>The first shadow report (2016) points to a fundamental and structural problem concerning monitoring transition processes and independent living of persons with disabilities in Luxembourg: The facilities and services (</w:t>
      </w:r>
      <w:proofErr w:type="spellStart"/>
      <w:r w:rsidRPr="00B92503">
        <w:rPr>
          <w:rFonts w:cs="Arial"/>
          <w:i/>
          <w:szCs w:val="24"/>
        </w:rPr>
        <w:t>asbl</w:t>
      </w:r>
      <w:proofErr w:type="spellEnd"/>
      <w:r w:rsidRPr="00B92503">
        <w:rPr>
          <w:rFonts w:cs="Arial"/>
          <w:szCs w:val="24"/>
        </w:rPr>
        <w:t xml:space="preserve">, </w:t>
      </w:r>
      <w:r w:rsidRPr="00B92503">
        <w:rPr>
          <w:rFonts w:cs="Arial"/>
          <w:i/>
          <w:szCs w:val="24"/>
        </w:rPr>
        <w:t>foundation</w:t>
      </w:r>
      <w:r w:rsidRPr="00B92503">
        <w:rPr>
          <w:rFonts w:cs="Arial"/>
          <w:szCs w:val="24"/>
        </w:rPr>
        <w:t>, private or public organisations) need state approval (“</w:t>
      </w:r>
      <w:proofErr w:type="spellStart"/>
      <w:r w:rsidRPr="00B92503">
        <w:rPr>
          <w:rFonts w:cs="Arial"/>
          <w:i/>
          <w:szCs w:val="24"/>
        </w:rPr>
        <w:t>aggrément</w:t>
      </w:r>
      <w:proofErr w:type="spellEnd"/>
      <w:r w:rsidRPr="00B92503">
        <w:rPr>
          <w:rFonts w:cs="Arial"/>
          <w:szCs w:val="24"/>
        </w:rPr>
        <w:t xml:space="preserve">”). a licence and in case of State funding or co-funding certain additional requirements </w:t>
      </w:r>
      <w:proofErr w:type="gramStart"/>
      <w:r w:rsidRPr="00B92503">
        <w:rPr>
          <w:rFonts w:cs="Arial"/>
          <w:szCs w:val="24"/>
        </w:rPr>
        <w:t>have to</w:t>
      </w:r>
      <w:proofErr w:type="gramEnd"/>
      <w:r w:rsidRPr="00B92503">
        <w:rPr>
          <w:rFonts w:cs="Arial"/>
          <w:szCs w:val="24"/>
        </w:rPr>
        <w:t xml:space="preserve"> be met. But, once licence and funding are approved there is no further monitoring through independent bodies.</w:t>
      </w:r>
      <w:r w:rsidR="004545E2" w:rsidRPr="00B92503">
        <w:rPr>
          <w:rFonts w:cs="Arial"/>
          <w:szCs w:val="24"/>
        </w:rPr>
        <w:t xml:space="preserve"> </w:t>
      </w:r>
      <w:r w:rsidRPr="00B92503">
        <w:rPr>
          <w:rFonts w:cs="Arial"/>
          <w:szCs w:val="24"/>
        </w:rPr>
        <w:t>The State (the various ministries) checks on finances, administration and hygiene matters. Most facilities and services have their own, internal department charged with monitoring professional conduct and human rights violations. Hence, complaints can be brought to the attention of the police. Since 2012, the Ministry for Family and Integration has been making efforts to improve the situation, in cooperation with DPOs. Some of the most urgent problems, such as lack of staff and the absence of participative advisory boards have begun to be addressed.</w:t>
      </w:r>
    </w:p>
    <w:p w:rsidR="00965216" w:rsidRPr="00B92503" w:rsidRDefault="00965216" w:rsidP="00B92503">
      <w:pPr>
        <w:pStyle w:val="BodyText"/>
        <w:ind w:left="221" w:right="350"/>
      </w:pPr>
    </w:p>
    <w:p w:rsidR="0072017E" w:rsidRPr="00B92503" w:rsidRDefault="000119DC" w:rsidP="00B92503">
      <w:pPr>
        <w:rPr>
          <w:rFonts w:cs="Arial"/>
          <w:szCs w:val="24"/>
        </w:rPr>
      </w:pPr>
      <w:r w:rsidRPr="00B92503">
        <w:rPr>
          <w:rFonts w:cs="Arial"/>
          <w:szCs w:val="24"/>
        </w:rPr>
        <w:t xml:space="preserve">The act on </w:t>
      </w:r>
      <w:r w:rsidR="0072017E" w:rsidRPr="00B92503">
        <w:rPr>
          <w:rFonts w:cs="Arial"/>
          <w:szCs w:val="24"/>
        </w:rPr>
        <w:t>services in favour of persons with disabilities (20</w:t>
      </w:r>
      <w:r w:rsidR="00264D04" w:rsidRPr="00B92503">
        <w:rPr>
          <w:rFonts w:cs="Arial"/>
          <w:szCs w:val="24"/>
        </w:rPr>
        <w:t>09</w:t>
      </w:r>
      <w:r w:rsidR="0072017E" w:rsidRPr="00B92503">
        <w:rPr>
          <w:rFonts w:cs="Arial"/>
          <w:szCs w:val="24"/>
        </w:rPr>
        <w:t>)</w:t>
      </w:r>
      <w:r w:rsidR="00264D04" w:rsidRPr="00B92503">
        <w:rPr>
          <w:rStyle w:val="FootnoteReference"/>
          <w:rFonts w:cs="Arial"/>
          <w:sz w:val="24"/>
          <w:szCs w:val="24"/>
        </w:rPr>
        <w:footnoteReference w:id="75"/>
      </w:r>
      <w:r w:rsidR="0072017E" w:rsidRPr="00B92503">
        <w:rPr>
          <w:rFonts w:cs="Arial"/>
          <w:szCs w:val="24"/>
        </w:rPr>
        <w:t xml:space="preserve"> stipulates in </w:t>
      </w:r>
      <w:r w:rsidR="00E32B1A">
        <w:rPr>
          <w:rFonts w:cs="Arial"/>
          <w:szCs w:val="24"/>
        </w:rPr>
        <w:t>A</w:t>
      </w:r>
      <w:r w:rsidR="0072017E" w:rsidRPr="00B92503">
        <w:rPr>
          <w:rFonts w:cs="Arial"/>
          <w:szCs w:val="24"/>
        </w:rPr>
        <w:t xml:space="preserve">rticle 3 </w:t>
      </w:r>
      <w:r w:rsidR="005F3B83" w:rsidRPr="00B92503">
        <w:rPr>
          <w:rFonts w:cs="Arial"/>
          <w:szCs w:val="24"/>
        </w:rPr>
        <w:t>the different</w:t>
      </w:r>
      <w:r w:rsidR="00A545CE" w:rsidRPr="00B92503">
        <w:rPr>
          <w:rFonts w:cs="Arial"/>
          <w:szCs w:val="24"/>
        </w:rPr>
        <w:t xml:space="preserve"> </w:t>
      </w:r>
      <w:r w:rsidR="0072017E" w:rsidRPr="00B92503">
        <w:rPr>
          <w:rFonts w:cs="Arial"/>
          <w:szCs w:val="24"/>
        </w:rPr>
        <w:t>types of services</w:t>
      </w:r>
      <w:r w:rsidR="005F3B83" w:rsidRPr="00B92503">
        <w:rPr>
          <w:rFonts w:cs="Arial"/>
          <w:szCs w:val="24"/>
        </w:rPr>
        <w:t>, including</w:t>
      </w:r>
      <w:r w:rsidR="00A545CE" w:rsidRPr="00B92503">
        <w:rPr>
          <w:rFonts w:cs="Arial"/>
          <w:szCs w:val="24"/>
        </w:rPr>
        <w:t xml:space="preserve"> </w:t>
      </w:r>
      <w:r w:rsidR="0072017E" w:rsidRPr="00B92503">
        <w:rPr>
          <w:rFonts w:cs="Arial"/>
          <w:szCs w:val="24"/>
        </w:rPr>
        <w:t>home assistance service and accommodation service.</w:t>
      </w:r>
    </w:p>
    <w:p w:rsidR="001D02E0" w:rsidRPr="00B92503" w:rsidRDefault="001D02E0" w:rsidP="00B92503">
      <w:pPr>
        <w:rPr>
          <w:rFonts w:cs="Arial"/>
          <w:szCs w:val="24"/>
        </w:rPr>
      </w:pPr>
    </w:p>
    <w:p w:rsidR="008E4ACD" w:rsidRPr="00B92503" w:rsidRDefault="0072017E" w:rsidP="00B92503">
      <w:pPr>
        <w:rPr>
          <w:rFonts w:cs="Arial"/>
          <w:szCs w:val="24"/>
        </w:rPr>
      </w:pPr>
      <w:r w:rsidRPr="00B92503">
        <w:rPr>
          <w:rFonts w:cs="Arial"/>
          <w:szCs w:val="24"/>
        </w:rPr>
        <w:t>Home assistance service (“</w:t>
      </w:r>
      <w:r w:rsidRPr="00B92503">
        <w:rPr>
          <w:rFonts w:cs="Arial"/>
          <w:i/>
          <w:szCs w:val="24"/>
        </w:rPr>
        <w:t xml:space="preserve">Service </w:t>
      </w:r>
      <w:proofErr w:type="spellStart"/>
      <w:r w:rsidRPr="00B92503">
        <w:rPr>
          <w:rFonts w:cs="Arial"/>
          <w:i/>
          <w:szCs w:val="24"/>
        </w:rPr>
        <w:t>d’assistance</w:t>
      </w:r>
      <w:proofErr w:type="spellEnd"/>
      <w:r w:rsidRPr="00B92503">
        <w:rPr>
          <w:rFonts w:cs="Arial"/>
          <w:i/>
          <w:szCs w:val="24"/>
        </w:rPr>
        <w:t xml:space="preserve"> à domicile</w:t>
      </w:r>
      <w:r w:rsidRPr="00B92503">
        <w:rPr>
          <w:rFonts w:cs="Arial"/>
          <w:szCs w:val="24"/>
        </w:rPr>
        <w:t xml:space="preserve">”) includes any service that provides care and/or material and psychological assistance to individuals in a family setting in a situation of disability and to their families. The purpose is to promote home support and ensure that it is taken in charge of end-of-life situations adapted to the individual needs and expectations of the people concerned. </w:t>
      </w:r>
    </w:p>
    <w:p w:rsidR="001D02E0" w:rsidRPr="00B92503" w:rsidRDefault="001D02E0" w:rsidP="00B92503">
      <w:pPr>
        <w:rPr>
          <w:rFonts w:cs="Arial"/>
          <w:szCs w:val="24"/>
        </w:rPr>
      </w:pPr>
    </w:p>
    <w:p w:rsidR="0072017E" w:rsidRPr="00B92503" w:rsidRDefault="0072017E" w:rsidP="00B92503">
      <w:pPr>
        <w:rPr>
          <w:rFonts w:cs="Arial"/>
          <w:szCs w:val="24"/>
        </w:rPr>
      </w:pPr>
      <w:r w:rsidRPr="00B92503">
        <w:rPr>
          <w:rFonts w:cs="Arial"/>
          <w:szCs w:val="24"/>
          <w:lang w:val="en-US"/>
        </w:rPr>
        <w:lastRenderedPageBreak/>
        <w:t>Accommodation service (</w:t>
      </w:r>
      <w:r w:rsidR="00A545CE" w:rsidRPr="00B92503">
        <w:rPr>
          <w:rFonts w:cs="Arial"/>
          <w:szCs w:val="24"/>
          <w:lang w:val="en-US"/>
        </w:rPr>
        <w:t>“</w:t>
      </w:r>
      <w:r w:rsidR="00A545CE" w:rsidRPr="00B92503">
        <w:rPr>
          <w:rFonts w:cs="Arial"/>
          <w:i/>
          <w:szCs w:val="24"/>
          <w:lang w:val="en-US"/>
        </w:rPr>
        <w:t xml:space="preserve">Service </w:t>
      </w:r>
      <w:proofErr w:type="spellStart"/>
      <w:r w:rsidR="00A545CE" w:rsidRPr="00B92503">
        <w:rPr>
          <w:rFonts w:cs="Arial"/>
          <w:i/>
          <w:szCs w:val="24"/>
          <w:lang w:val="en-US"/>
        </w:rPr>
        <w:t>d’hébergement</w:t>
      </w:r>
      <w:proofErr w:type="spellEnd"/>
      <w:r w:rsidR="00A545CE" w:rsidRPr="00B92503">
        <w:rPr>
          <w:rFonts w:cs="Arial"/>
          <w:szCs w:val="24"/>
          <w:lang w:val="en-US"/>
        </w:rPr>
        <w:t xml:space="preserve">”) includes </w:t>
      </w:r>
      <w:r w:rsidR="00A545CE" w:rsidRPr="00B92503">
        <w:rPr>
          <w:rFonts w:cs="Arial"/>
          <w:szCs w:val="24"/>
        </w:rPr>
        <w:t>a</w:t>
      </w:r>
      <w:r w:rsidRPr="00B92503">
        <w:rPr>
          <w:rFonts w:cs="Arial"/>
          <w:szCs w:val="24"/>
        </w:rPr>
        <w:t>ny service that offers multidisciplinary accommodation and/or professional support to more than three</w:t>
      </w:r>
      <w:r w:rsidR="00A545CE" w:rsidRPr="00B92503">
        <w:rPr>
          <w:rFonts w:cs="Arial"/>
          <w:szCs w:val="24"/>
          <w:lang w:val="en-US"/>
        </w:rPr>
        <w:t xml:space="preserve"> </w:t>
      </w:r>
      <w:r w:rsidRPr="00B92503">
        <w:rPr>
          <w:rFonts w:cs="Arial"/>
          <w:szCs w:val="24"/>
        </w:rPr>
        <w:t>people with disabilities. The purpose is to provide professional supervision to the person in a situation of</w:t>
      </w:r>
      <w:r w:rsidR="00A545CE" w:rsidRPr="00B92503">
        <w:rPr>
          <w:rFonts w:cs="Arial"/>
          <w:szCs w:val="24"/>
          <w:lang w:val="en-US"/>
        </w:rPr>
        <w:t xml:space="preserve"> </w:t>
      </w:r>
      <w:r w:rsidRPr="00B92503">
        <w:rPr>
          <w:rFonts w:cs="Arial"/>
          <w:szCs w:val="24"/>
        </w:rPr>
        <w:t xml:space="preserve">disability in accordance with a global and coherent approach by </w:t>
      </w:r>
      <w:proofErr w:type="gramStart"/>
      <w:r w:rsidRPr="00B92503">
        <w:rPr>
          <w:rFonts w:cs="Arial"/>
          <w:szCs w:val="24"/>
        </w:rPr>
        <w:t>providing assistance</w:t>
      </w:r>
      <w:proofErr w:type="gramEnd"/>
      <w:r w:rsidRPr="00B92503">
        <w:rPr>
          <w:rFonts w:cs="Arial"/>
          <w:szCs w:val="24"/>
        </w:rPr>
        <w:t xml:space="preserve"> and care within the meaning of the law</w:t>
      </w:r>
      <w:r w:rsidR="00A545CE" w:rsidRPr="00B92503">
        <w:rPr>
          <w:rFonts w:cs="Arial"/>
          <w:szCs w:val="24"/>
          <w:lang w:val="en-US"/>
        </w:rPr>
        <w:t xml:space="preserve"> </w:t>
      </w:r>
      <w:r w:rsidR="00A545CE" w:rsidRPr="00B92503">
        <w:rPr>
          <w:rFonts w:cs="Arial"/>
          <w:szCs w:val="24"/>
        </w:rPr>
        <w:t xml:space="preserve">of </w:t>
      </w:r>
      <w:r w:rsidRPr="00B92503">
        <w:rPr>
          <w:rFonts w:cs="Arial"/>
          <w:szCs w:val="24"/>
        </w:rPr>
        <w:t>dependency insurance and socio-pedagogical support</w:t>
      </w:r>
      <w:r w:rsidR="00A545CE" w:rsidRPr="00B92503">
        <w:rPr>
          <w:rFonts w:cs="Arial"/>
          <w:szCs w:val="24"/>
          <w:lang w:val="en-US"/>
        </w:rPr>
        <w:t xml:space="preserve"> </w:t>
      </w:r>
      <w:r w:rsidRPr="00B92503">
        <w:rPr>
          <w:rFonts w:cs="Arial"/>
          <w:szCs w:val="24"/>
        </w:rPr>
        <w:t>and a management of end-of-life situations adapted to their individual needs and expectations.</w:t>
      </w:r>
    </w:p>
    <w:p w:rsidR="001D02E0" w:rsidRPr="00B92503" w:rsidRDefault="001D02E0" w:rsidP="00B92503">
      <w:pPr>
        <w:rPr>
          <w:rFonts w:cs="Arial"/>
          <w:szCs w:val="24"/>
          <w:lang w:val="en-US"/>
        </w:rPr>
      </w:pPr>
    </w:p>
    <w:p w:rsidR="00A545CE" w:rsidRPr="00B92503" w:rsidRDefault="007B3653" w:rsidP="00B92503">
      <w:pPr>
        <w:rPr>
          <w:rFonts w:cs="Arial"/>
          <w:szCs w:val="24"/>
        </w:rPr>
      </w:pPr>
      <w:r w:rsidRPr="00B92503">
        <w:rPr>
          <w:rFonts w:cs="Arial"/>
          <w:szCs w:val="24"/>
          <w:lang w:val="en-US"/>
        </w:rPr>
        <w:t>O</w:t>
      </w:r>
      <w:proofErr w:type="spellStart"/>
      <w:r w:rsidR="00A545CE" w:rsidRPr="00B92503">
        <w:rPr>
          <w:rFonts w:cs="Arial"/>
          <w:szCs w:val="24"/>
        </w:rPr>
        <w:t>fficials</w:t>
      </w:r>
      <w:proofErr w:type="spellEnd"/>
      <w:r w:rsidR="00A545CE" w:rsidRPr="00B92503">
        <w:rPr>
          <w:rFonts w:cs="Arial"/>
          <w:szCs w:val="24"/>
        </w:rPr>
        <w:t xml:space="preserve"> shall be responsible for monitoring the application of the Act. They may be assisted in their duties by officials of the Ministry of Family</w:t>
      </w:r>
      <w:r w:rsidR="0077174C" w:rsidRPr="00B92503">
        <w:rPr>
          <w:rFonts w:cs="Arial"/>
          <w:szCs w:val="24"/>
        </w:rPr>
        <w:t xml:space="preserve"> Affairs</w:t>
      </w:r>
      <w:r w:rsidR="00A545CE" w:rsidRPr="00B92503">
        <w:rPr>
          <w:rFonts w:cs="Arial"/>
          <w:szCs w:val="24"/>
        </w:rPr>
        <w:t>, as well as by experts. During a visit, the officer or officers in charge of the surveillance mission shall identify themselves by means of a legitimation card bearing the signature of the competent minister.</w:t>
      </w:r>
      <w:r w:rsidRPr="00B92503">
        <w:rPr>
          <w:rFonts w:cs="Arial"/>
          <w:szCs w:val="24"/>
        </w:rPr>
        <w:t xml:space="preserve"> </w:t>
      </w:r>
      <w:r w:rsidR="00A545CE" w:rsidRPr="00B92503">
        <w:rPr>
          <w:rFonts w:cs="Arial"/>
          <w:szCs w:val="24"/>
        </w:rPr>
        <w:t>Visits to the services shall be carried out at least once every three years.</w:t>
      </w:r>
      <w:r w:rsidRPr="00B92503">
        <w:rPr>
          <w:rFonts w:cs="Arial"/>
          <w:szCs w:val="24"/>
        </w:rPr>
        <w:t xml:space="preserve"> </w:t>
      </w:r>
      <w:r w:rsidR="00A545CE" w:rsidRPr="00B92503">
        <w:rPr>
          <w:rFonts w:cs="Arial"/>
          <w:szCs w:val="24"/>
        </w:rPr>
        <w:t>The manager may request an extension of this time limit if, for reasons beyond his control and for reasons beyond his control will, it cannot comply within the time lim</w:t>
      </w:r>
      <w:r w:rsidRPr="00B92503">
        <w:rPr>
          <w:rFonts w:cs="Arial"/>
          <w:szCs w:val="24"/>
        </w:rPr>
        <w:t>i</w:t>
      </w:r>
      <w:r w:rsidR="00A545CE" w:rsidRPr="00B92503">
        <w:rPr>
          <w:rFonts w:cs="Arial"/>
          <w:szCs w:val="24"/>
        </w:rPr>
        <w:t>t set.</w:t>
      </w:r>
    </w:p>
    <w:p w:rsidR="001D02E0" w:rsidRPr="00B92503" w:rsidRDefault="001D02E0" w:rsidP="00B92503">
      <w:pPr>
        <w:rPr>
          <w:rFonts w:cs="Arial"/>
          <w:szCs w:val="24"/>
        </w:rPr>
      </w:pPr>
    </w:p>
    <w:p w:rsidR="00A545CE" w:rsidRPr="00B92503" w:rsidRDefault="00A545CE" w:rsidP="00B92503">
      <w:pPr>
        <w:rPr>
          <w:rFonts w:cs="Arial"/>
          <w:szCs w:val="24"/>
        </w:rPr>
      </w:pPr>
      <w:r w:rsidRPr="00B92503">
        <w:rPr>
          <w:rFonts w:cs="Arial"/>
          <w:szCs w:val="24"/>
        </w:rPr>
        <w:t>After the compliance period has expired, the competent minister may, subject to the provisions of Article 4 of the Act, revoke the approval of the manager</w:t>
      </w:r>
      <w:r w:rsidR="004545E2" w:rsidRPr="00B92503">
        <w:rPr>
          <w:rFonts w:cs="Arial"/>
          <w:szCs w:val="24"/>
        </w:rPr>
        <w:t>.</w:t>
      </w:r>
    </w:p>
    <w:p w:rsidR="001D02E0" w:rsidRPr="00B92503" w:rsidRDefault="001D02E0" w:rsidP="00B92503">
      <w:pPr>
        <w:rPr>
          <w:rFonts w:cs="Arial"/>
          <w:szCs w:val="24"/>
        </w:rPr>
      </w:pPr>
    </w:p>
    <w:p w:rsidR="004F67EA" w:rsidRPr="00B92503" w:rsidRDefault="005F3B83" w:rsidP="00B92503">
      <w:pPr>
        <w:rPr>
          <w:rFonts w:cs="Arial"/>
          <w:szCs w:val="24"/>
        </w:rPr>
      </w:pPr>
      <w:r w:rsidRPr="00B92503">
        <w:rPr>
          <w:rFonts w:cs="Arial"/>
          <w:szCs w:val="24"/>
        </w:rPr>
        <w:t xml:space="preserve">Article 4 </w:t>
      </w:r>
      <w:r w:rsidR="0053176C" w:rsidRPr="00B92503">
        <w:rPr>
          <w:rFonts w:cs="Arial"/>
          <w:szCs w:val="24"/>
        </w:rPr>
        <w:t xml:space="preserve">of the act </w:t>
      </w:r>
      <w:r w:rsidRPr="00B92503">
        <w:rPr>
          <w:rFonts w:cs="Arial"/>
          <w:szCs w:val="24"/>
        </w:rPr>
        <w:t>stipul</w:t>
      </w:r>
      <w:r w:rsidR="004F67EA" w:rsidRPr="00B92503">
        <w:rPr>
          <w:rFonts w:cs="Arial"/>
          <w:szCs w:val="24"/>
        </w:rPr>
        <w:t>at</w:t>
      </w:r>
      <w:r w:rsidR="0053176C" w:rsidRPr="00B92503">
        <w:rPr>
          <w:rFonts w:cs="Arial"/>
          <w:szCs w:val="24"/>
        </w:rPr>
        <w:t>e</w:t>
      </w:r>
      <w:r w:rsidR="004F67EA" w:rsidRPr="00B92503">
        <w:rPr>
          <w:rFonts w:cs="Arial"/>
          <w:szCs w:val="24"/>
        </w:rPr>
        <w:t>s that the manager of a service for people with disabilities, is required to guarantee users a multidisciplinary professional framework aimed at the quality of life of the person with disabilities and making it possible to satisfy the principles of autonomy, normalization and full participation. He must prove the conformity of his individual solution with the general guidelines laid down in this Regulation.</w:t>
      </w:r>
    </w:p>
    <w:p w:rsidR="001D02E0" w:rsidRPr="00B92503" w:rsidRDefault="001D02E0" w:rsidP="00B92503">
      <w:pPr>
        <w:rPr>
          <w:rFonts w:cs="Arial"/>
          <w:szCs w:val="24"/>
        </w:rPr>
      </w:pPr>
    </w:p>
    <w:p w:rsidR="00A545CE" w:rsidRPr="00B92503" w:rsidRDefault="00325889" w:rsidP="00B92503">
      <w:pPr>
        <w:rPr>
          <w:rFonts w:cs="Arial"/>
          <w:szCs w:val="24"/>
        </w:rPr>
      </w:pPr>
      <w:r w:rsidRPr="00B92503">
        <w:rPr>
          <w:rFonts w:cs="Arial"/>
          <w:szCs w:val="24"/>
        </w:rPr>
        <w:t>The legal regulations lay down certain minimum standards with relation to the qualifications of the staff, the maximum number of users, differentiated according to the degree of autonomy and the architectural conditions of the building.</w:t>
      </w:r>
    </w:p>
    <w:p w:rsidR="004833F4" w:rsidRPr="00B92503" w:rsidRDefault="004833F4" w:rsidP="00E32B1A"/>
    <w:p w:rsidR="008E4ACD" w:rsidRPr="00B92503" w:rsidRDefault="008E4ACD" w:rsidP="00B92503">
      <w:pPr>
        <w:pStyle w:val="Heading3"/>
        <w:rPr>
          <w:rFonts w:cs="Arial"/>
          <w:szCs w:val="24"/>
        </w:rPr>
      </w:pPr>
      <w:r w:rsidRPr="00B92503">
        <w:rPr>
          <w:rFonts w:cs="Arial"/>
          <w:szCs w:val="24"/>
        </w:rPr>
        <w:t>Measurement and data collection</w:t>
      </w:r>
    </w:p>
    <w:p w:rsidR="001D02E0" w:rsidRPr="00B92503" w:rsidRDefault="001D02E0" w:rsidP="00B92503">
      <w:pPr>
        <w:rPr>
          <w:rFonts w:cs="Arial"/>
          <w:szCs w:val="24"/>
        </w:rPr>
      </w:pPr>
    </w:p>
    <w:p w:rsidR="007645C8" w:rsidRPr="00B92503" w:rsidRDefault="007D2197" w:rsidP="00B92503">
      <w:pPr>
        <w:rPr>
          <w:rFonts w:cs="Arial"/>
          <w:szCs w:val="24"/>
        </w:rPr>
      </w:pPr>
      <w:r w:rsidRPr="00B92503">
        <w:rPr>
          <w:rFonts w:cs="Arial"/>
          <w:szCs w:val="24"/>
        </w:rPr>
        <w:t>No relevant information available</w:t>
      </w:r>
      <w:r w:rsidR="00E32B1A">
        <w:rPr>
          <w:rFonts w:cs="Arial"/>
          <w:szCs w:val="24"/>
        </w:rPr>
        <w:t>.</w:t>
      </w:r>
    </w:p>
    <w:p w:rsidR="001D02E0" w:rsidRPr="00B92503" w:rsidRDefault="001D02E0" w:rsidP="00E32B1A">
      <w:bookmarkStart w:id="49" w:name="_Toc529874070"/>
    </w:p>
    <w:p w:rsidR="008E4ACD" w:rsidRPr="00B92503" w:rsidRDefault="008E4ACD" w:rsidP="00E32B1A">
      <w:pPr>
        <w:pStyle w:val="Heading1"/>
      </w:pPr>
      <w:bookmarkStart w:id="50" w:name="_TOC_250017"/>
      <w:bookmarkStart w:id="51" w:name="_Toc7612966"/>
      <w:r w:rsidRPr="00B92503">
        <w:t xml:space="preserve">Impact and </w:t>
      </w:r>
      <w:bookmarkEnd w:id="50"/>
      <w:r w:rsidRPr="00B92503">
        <w:t>outcomes</w:t>
      </w:r>
      <w:bookmarkEnd w:id="49"/>
      <w:bookmarkEnd w:id="51"/>
    </w:p>
    <w:p w:rsidR="001D02E0" w:rsidRPr="00B92503" w:rsidRDefault="001D02E0" w:rsidP="00E32B1A">
      <w:bookmarkStart w:id="52" w:name="_Toc529874071"/>
    </w:p>
    <w:p w:rsidR="008E4ACD" w:rsidRPr="00B92503" w:rsidRDefault="008E4ACD" w:rsidP="00B92503">
      <w:pPr>
        <w:pStyle w:val="Heading2"/>
        <w:rPr>
          <w:rFonts w:cs="Arial"/>
          <w:szCs w:val="24"/>
        </w:rPr>
      </w:pPr>
      <w:bookmarkStart w:id="53" w:name="_TOC_250016"/>
      <w:bookmarkStart w:id="54" w:name="_Toc7612967"/>
      <w:r w:rsidRPr="00B92503">
        <w:rPr>
          <w:rFonts w:cs="Arial"/>
          <w:szCs w:val="24"/>
        </w:rPr>
        <w:t>Progress against</w:t>
      </w:r>
      <w:r w:rsidR="00C60675" w:rsidRPr="00B92503">
        <w:rPr>
          <w:rFonts w:cs="Arial"/>
          <w:szCs w:val="24"/>
        </w:rPr>
        <w:t xml:space="preserve"> explicit</w:t>
      </w:r>
      <w:r w:rsidRPr="00B92503">
        <w:rPr>
          <w:rFonts w:cs="Arial"/>
          <w:szCs w:val="24"/>
        </w:rPr>
        <w:t xml:space="preserve"> targets and </w:t>
      </w:r>
      <w:bookmarkEnd w:id="53"/>
      <w:r w:rsidRPr="00B92503">
        <w:rPr>
          <w:rFonts w:cs="Arial"/>
          <w:szCs w:val="24"/>
        </w:rPr>
        <w:t>milestones</w:t>
      </w:r>
      <w:bookmarkEnd w:id="52"/>
      <w:bookmarkEnd w:id="54"/>
    </w:p>
    <w:p w:rsidR="001D02E0" w:rsidRPr="00B92503" w:rsidRDefault="001D02E0" w:rsidP="00B92503">
      <w:pPr>
        <w:rPr>
          <w:rFonts w:cs="Arial"/>
          <w:szCs w:val="24"/>
        </w:rPr>
      </w:pPr>
    </w:p>
    <w:p w:rsidR="00260E74" w:rsidRDefault="00E659CD" w:rsidP="00B92503">
      <w:pPr>
        <w:rPr>
          <w:rFonts w:cs="Arial"/>
          <w:szCs w:val="24"/>
        </w:rPr>
      </w:pPr>
      <w:r w:rsidRPr="00B92503">
        <w:rPr>
          <w:rFonts w:cs="Arial"/>
          <w:szCs w:val="24"/>
        </w:rPr>
        <w:t>The de</w:t>
      </w:r>
      <w:r w:rsidR="0053176C" w:rsidRPr="00B92503">
        <w:rPr>
          <w:rFonts w:cs="Arial"/>
          <w:szCs w:val="24"/>
        </w:rPr>
        <w:t>-</w:t>
      </w:r>
      <w:r w:rsidRPr="00B92503">
        <w:rPr>
          <w:rFonts w:cs="Arial"/>
          <w:szCs w:val="24"/>
        </w:rPr>
        <w:t>institutionalisation measures demanded in the psychiatric report (2005-2009)</w:t>
      </w:r>
      <w:r w:rsidRPr="00B92503">
        <w:rPr>
          <w:rStyle w:val="FootnoteReference"/>
          <w:rFonts w:cs="Arial"/>
          <w:sz w:val="24"/>
          <w:szCs w:val="24"/>
        </w:rPr>
        <w:footnoteReference w:id="76"/>
      </w:r>
      <w:r w:rsidRPr="00B92503">
        <w:rPr>
          <w:rFonts w:cs="Arial"/>
          <w:szCs w:val="24"/>
        </w:rPr>
        <w:t xml:space="preserve"> should have been implemented by 2012. In a press conference, the Luxembourg Government (2013)</w:t>
      </w:r>
      <w:r w:rsidRPr="00B92503">
        <w:rPr>
          <w:rStyle w:val="FootnoteReference"/>
          <w:rFonts w:cs="Arial"/>
          <w:sz w:val="24"/>
          <w:szCs w:val="24"/>
        </w:rPr>
        <w:footnoteReference w:id="77"/>
      </w:r>
      <w:r w:rsidRPr="00B92503">
        <w:rPr>
          <w:rFonts w:cs="Arial"/>
          <w:szCs w:val="24"/>
        </w:rPr>
        <w:t xml:space="preserve"> stated that the goals had been achieved, but sees an ongoing need for action, especially in the area of independent living, without giving precise </w:t>
      </w:r>
      <w:r w:rsidRPr="00B92503">
        <w:rPr>
          <w:rFonts w:cs="Arial"/>
          <w:szCs w:val="24"/>
        </w:rPr>
        <w:lastRenderedPageBreak/>
        <w:t>figures.</w:t>
      </w:r>
      <w:r w:rsidR="00AA45B8" w:rsidRPr="00B92503">
        <w:rPr>
          <w:rFonts w:cs="Arial"/>
          <w:szCs w:val="24"/>
        </w:rPr>
        <w:t xml:space="preserve"> The </w:t>
      </w:r>
      <w:r w:rsidR="003A16D2" w:rsidRPr="00B92503">
        <w:rPr>
          <w:rFonts w:cs="Arial"/>
          <w:szCs w:val="24"/>
        </w:rPr>
        <w:t xml:space="preserve">first national report on implementing the CRPD </w:t>
      </w:r>
      <w:r w:rsidR="00046790" w:rsidRPr="00B92503">
        <w:rPr>
          <w:rFonts w:cs="Arial"/>
          <w:szCs w:val="24"/>
        </w:rPr>
        <w:t xml:space="preserve">mentions </w:t>
      </w:r>
      <w:r w:rsidR="005D6476" w:rsidRPr="00B92503">
        <w:rPr>
          <w:rFonts w:cs="Arial"/>
          <w:szCs w:val="24"/>
        </w:rPr>
        <w:t xml:space="preserve">also the big shift that has taken place concerning </w:t>
      </w:r>
      <w:r w:rsidR="00E1309A" w:rsidRPr="00B92503">
        <w:rPr>
          <w:rFonts w:cs="Arial"/>
          <w:szCs w:val="24"/>
        </w:rPr>
        <w:t>decentralisation</w:t>
      </w:r>
      <w:r w:rsidR="005D6476" w:rsidRPr="00B92503">
        <w:rPr>
          <w:rFonts w:cs="Arial"/>
          <w:szCs w:val="24"/>
        </w:rPr>
        <w:t xml:space="preserve"> in Luxembourg. A compilation on progress against explicit targets and milestones can be found in the appendix </w:t>
      </w:r>
      <w:r w:rsidR="00093627" w:rsidRPr="00B92503">
        <w:rPr>
          <w:rFonts w:cs="Arial"/>
          <w:szCs w:val="24"/>
        </w:rPr>
        <w:t>(</w:t>
      </w:r>
      <w:r w:rsidR="005D6476" w:rsidRPr="00B92503">
        <w:rPr>
          <w:rFonts w:cs="Arial"/>
          <w:szCs w:val="24"/>
        </w:rPr>
        <w:t>“</w:t>
      </w:r>
      <w:r w:rsidR="00046790" w:rsidRPr="00B92503">
        <w:rPr>
          <w:rFonts w:cs="Arial"/>
          <w:szCs w:val="24"/>
        </w:rPr>
        <w:t>milestones</w:t>
      </w:r>
      <w:r w:rsidR="003A16D2" w:rsidRPr="00B92503">
        <w:rPr>
          <w:rFonts w:cs="Arial"/>
          <w:szCs w:val="24"/>
        </w:rPr>
        <w:t xml:space="preserve">, concerning the psychiatric reform </w:t>
      </w:r>
      <w:r w:rsidR="00260E74" w:rsidRPr="00B92503">
        <w:rPr>
          <w:rFonts w:cs="Arial"/>
          <w:szCs w:val="24"/>
        </w:rPr>
        <w:t xml:space="preserve">and decentralisation </w:t>
      </w:r>
      <w:r w:rsidR="003A16D2" w:rsidRPr="00B92503">
        <w:rPr>
          <w:rFonts w:cs="Arial"/>
          <w:szCs w:val="24"/>
        </w:rPr>
        <w:t>in Luxembourg</w:t>
      </w:r>
      <w:r w:rsidR="005D6476" w:rsidRPr="00B92503">
        <w:rPr>
          <w:rFonts w:cs="Arial"/>
          <w:szCs w:val="24"/>
        </w:rPr>
        <w:t xml:space="preserve">, </w:t>
      </w:r>
      <w:r w:rsidR="00093627" w:rsidRPr="00B92503">
        <w:rPr>
          <w:rFonts w:cs="Arial"/>
          <w:szCs w:val="24"/>
        </w:rPr>
        <w:t xml:space="preserve">mentioned in the first national report, </w:t>
      </w:r>
      <w:r w:rsidR="00A01222" w:rsidRPr="00B92503">
        <w:rPr>
          <w:rFonts w:cs="Arial"/>
          <w:szCs w:val="24"/>
        </w:rPr>
        <w:t>points 143 - 146)</w:t>
      </w:r>
      <w:r w:rsidR="003A16D2" w:rsidRPr="00B92503">
        <w:rPr>
          <w:rFonts w:cs="Arial"/>
          <w:szCs w:val="24"/>
        </w:rPr>
        <w:t>:</w:t>
      </w:r>
      <w:r w:rsidR="003A16D2" w:rsidRPr="00B92503">
        <w:rPr>
          <w:rStyle w:val="FootnoteReference"/>
          <w:rFonts w:cs="Arial"/>
          <w:sz w:val="24"/>
          <w:szCs w:val="24"/>
        </w:rPr>
        <w:footnoteReference w:id="78"/>
      </w:r>
      <w:r w:rsidR="005D6476" w:rsidRPr="00B92503">
        <w:rPr>
          <w:rFonts w:cs="Arial"/>
          <w:szCs w:val="24"/>
        </w:rPr>
        <w:t xml:space="preserve"> </w:t>
      </w:r>
    </w:p>
    <w:p w:rsidR="00E32B1A" w:rsidRPr="00B92503" w:rsidRDefault="00E32B1A" w:rsidP="00B92503">
      <w:pPr>
        <w:rPr>
          <w:rFonts w:cs="Arial"/>
          <w:szCs w:val="24"/>
        </w:rPr>
      </w:pPr>
    </w:p>
    <w:p w:rsidR="00046790" w:rsidRPr="00E32B1A" w:rsidRDefault="00375F76" w:rsidP="00256857">
      <w:pPr>
        <w:pStyle w:val="Default"/>
        <w:ind w:left="567"/>
        <w:jc w:val="both"/>
        <w:rPr>
          <w:rFonts w:ascii="Arial" w:hAnsi="Arial" w:cs="Arial"/>
          <w:lang w:val="en-GB"/>
        </w:rPr>
      </w:pPr>
      <w:r w:rsidRPr="00B92503">
        <w:rPr>
          <w:rFonts w:ascii="Arial" w:hAnsi="Arial" w:cs="Arial"/>
          <w:color w:val="auto"/>
          <w:lang w:val="en-GB"/>
        </w:rPr>
        <w:t>Concerning the implementation of article 19 “</w:t>
      </w:r>
      <w:r w:rsidRPr="00B92503">
        <w:rPr>
          <w:rFonts w:ascii="Arial" w:hAnsi="Arial" w:cs="Arial"/>
          <w:i/>
          <w:color w:val="auto"/>
          <w:lang w:val="en-GB"/>
        </w:rPr>
        <w:t>l</w:t>
      </w:r>
      <w:r w:rsidR="00046790" w:rsidRPr="00B92503">
        <w:rPr>
          <w:rFonts w:ascii="Arial" w:hAnsi="Arial" w:cs="Arial"/>
          <w:i/>
          <w:color w:val="auto"/>
          <w:lang w:val="en-GB"/>
        </w:rPr>
        <w:t>iving independently and being included in the community</w:t>
      </w:r>
      <w:r w:rsidRPr="00B92503">
        <w:rPr>
          <w:rFonts w:ascii="Arial" w:hAnsi="Arial" w:cs="Arial"/>
          <w:color w:val="auto"/>
          <w:lang w:val="en-GB"/>
        </w:rPr>
        <w:t xml:space="preserve">” the first national report refers to </w:t>
      </w:r>
      <w:r w:rsidR="00093627" w:rsidRPr="00B92503">
        <w:rPr>
          <w:rFonts w:ascii="Arial" w:hAnsi="Arial" w:cs="Arial"/>
          <w:color w:val="auto"/>
          <w:lang w:val="en-GB"/>
        </w:rPr>
        <w:t>some</w:t>
      </w:r>
      <w:r w:rsidRPr="00B92503">
        <w:rPr>
          <w:rFonts w:ascii="Arial" w:hAnsi="Arial" w:cs="Arial"/>
          <w:color w:val="auto"/>
          <w:lang w:val="en-GB"/>
        </w:rPr>
        <w:t xml:space="preserve"> </w:t>
      </w:r>
      <w:r w:rsidR="00093627" w:rsidRPr="00B92503">
        <w:rPr>
          <w:rFonts w:ascii="Arial" w:hAnsi="Arial" w:cs="Arial"/>
          <w:color w:val="auto"/>
          <w:lang w:val="en-GB"/>
        </w:rPr>
        <w:t xml:space="preserve">important </w:t>
      </w:r>
      <w:r w:rsidRPr="00B92503">
        <w:rPr>
          <w:rFonts w:ascii="Arial" w:hAnsi="Arial" w:cs="Arial"/>
          <w:color w:val="auto"/>
          <w:lang w:val="en-GB"/>
        </w:rPr>
        <w:t>achievements</w:t>
      </w:r>
      <w:r w:rsidR="00093627" w:rsidRPr="00B92503">
        <w:rPr>
          <w:rFonts w:ascii="Arial" w:hAnsi="Arial" w:cs="Arial"/>
          <w:color w:val="auto"/>
          <w:lang w:val="en-GB"/>
        </w:rPr>
        <w:t xml:space="preserve"> which concern both the housing situation and measures of independent living. (See Appendix, Implementation of article 19 “living independently and being included in the community”</w:t>
      </w:r>
      <w:r w:rsidR="00E32B1A">
        <w:rPr>
          <w:rFonts w:ascii="Arial" w:hAnsi="Arial" w:cs="Arial"/>
          <w:color w:val="auto"/>
          <w:lang w:val="en-GB"/>
        </w:rPr>
        <w:t>.)</w:t>
      </w:r>
      <w:r w:rsidR="00093627" w:rsidRPr="00B92503">
        <w:rPr>
          <w:rStyle w:val="FootnoteReference"/>
          <w:rFonts w:cs="Arial"/>
          <w:sz w:val="24"/>
          <w:lang w:val="fr-CH"/>
        </w:rPr>
        <w:footnoteReference w:id="79"/>
      </w:r>
    </w:p>
    <w:p w:rsidR="008E4ACD" w:rsidRPr="00B92503" w:rsidRDefault="008E4ACD" w:rsidP="00B92503">
      <w:pPr>
        <w:ind w:left="567" w:hanging="567"/>
        <w:rPr>
          <w:rFonts w:cs="Arial"/>
          <w:b/>
          <w:szCs w:val="24"/>
          <w:lang w:val="en-US"/>
        </w:rPr>
      </w:pPr>
    </w:p>
    <w:p w:rsidR="00205446" w:rsidRPr="00B92503" w:rsidRDefault="008E4ACD" w:rsidP="00B92503">
      <w:pPr>
        <w:pStyle w:val="Heading2"/>
        <w:rPr>
          <w:rFonts w:cs="Arial"/>
          <w:szCs w:val="24"/>
        </w:rPr>
      </w:pPr>
      <w:bookmarkStart w:id="55" w:name="_TOC_250015"/>
      <w:bookmarkStart w:id="56" w:name="_Toc529874072"/>
      <w:bookmarkStart w:id="57" w:name="_Toc7612968"/>
      <w:r w:rsidRPr="00B92503">
        <w:rPr>
          <w:rFonts w:cs="Arial"/>
          <w:szCs w:val="24"/>
        </w:rPr>
        <w:t xml:space="preserve">What is replacing institutional </w:t>
      </w:r>
      <w:bookmarkEnd w:id="55"/>
      <w:r w:rsidRPr="00B92503">
        <w:rPr>
          <w:rFonts w:cs="Arial"/>
          <w:szCs w:val="24"/>
        </w:rPr>
        <w:t>care</w:t>
      </w:r>
      <w:r w:rsidR="00205446" w:rsidRPr="00B92503">
        <w:rPr>
          <w:rFonts w:cs="Arial"/>
          <w:szCs w:val="24"/>
        </w:rPr>
        <w:t>?</w:t>
      </w:r>
      <w:bookmarkEnd w:id="56"/>
      <w:bookmarkEnd w:id="57"/>
    </w:p>
    <w:p w:rsidR="00E32B1A" w:rsidRDefault="00E32B1A" w:rsidP="00B92503">
      <w:pPr>
        <w:rPr>
          <w:rFonts w:cs="Arial"/>
          <w:szCs w:val="24"/>
        </w:rPr>
      </w:pPr>
    </w:p>
    <w:p w:rsidR="00205446" w:rsidRPr="00B92503" w:rsidRDefault="004232F2" w:rsidP="00B92503">
      <w:pPr>
        <w:rPr>
          <w:rFonts w:cs="Arial"/>
          <w:szCs w:val="24"/>
        </w:rPr>
      </w:pPr>
      <w:r w:rsidRPr="00B92503">
        <w:rPr>
          <w:rFonts w:cs="Arial"/>
          <w:szCs w:val="24"/>
        </w:rPr>
        <w:t>The national institutions for people with disabilities began years ago to provide semi-autonomous and autonomous living structures with advisory service</w:t>
      </w:r>
      <w:r w:rsidR="0054349F" w:rsidRPr="00B92503">
        <w:rPr>
          <w:rFonts w:cs="Arial"/>
          <w:szCs w:val="24"/>
        </w:rPr>
        <w:t>s</w:t>
      </w:r>
      <w:r w:rsidRPr="00B92503">
        <w:rPr>
          <w:rFonts w:cs="Arial"/>
          <w:szCs w:val="24"/>
        </w:rPr>
        <w:t xml:space="preserve"> (see chapter1).</w:t>
      </w:r>
    </w:p>
    <w:p w:rsidR="001D02E0" w:rsidRPr="00B92503" w:rsidRDefault="001D02E0" w:rsidP="00E32B1A"/>
    <w:p w:rsidR="00173EF0" w:rsidRPr="00B92503" w:rsidRDefault="00173EF0" w:rsidP="00B92503">
      <w:pPr>
        <w:pStyle w:val="Heading3"/>
        <w:rPr>
          <w:rFonts w:cs="Arial"/>
          <w:szCs w:val="24"/>
        </w:rPr>
      </w:pPr>
      <w:r w:rsidRPr="00B92503">
        <w:rPr>
          <w:rFonts w:cs="Arial"/>
          <w:szCs w:val="24"/>
        </w:rPr>
        <w:t>At the point that persons with disabilities are being moved out of institutional care facilities, what types of accommodation and support are they being moved into?</w:t>
      </w:r>
    </w:p>
    <w:p w:rsidR="001D02E0" w:rsidRPr="00B92503" w:rsidRDefault="001D02E0" w:rsidP="00B92503">
      <w:pPr>
        <w:rPr>
          <w:rFonts w:cs="Arial"/>
          <w:szCs w:val="24"/>
        </w:rPr>
      </w:pPr>
    </w:p>
    <w:p w:rsidR="00173EF0" w:rsidRDefault="001C3820" w:rsidP="00B92503">
      <w:pPr>
        <w:rPr>
          <w:rFonts w:cs="Arial"/>
          <w:szCs w:val="24"/>
        </w:rPr>
      </w:pPr>
      <w:r w:rsidRPr="00B92503">
        <w:rPr>
          <w:rFonts w:cs="Arial"/>
          <w:szCs w:val="24"/>
        </w:rPr>
        <w:t>Already the ANED Report 2009</w:t>
      </w:r>
      <w:r w:rsidR="00E9194C" w:rsidRPr="00B92503">
        <w:rPr>
          <w:rStyle w:val="FootnoteReference"/>
          <w:rFonts w:cs="Arial"/>
          <w:sz w:val="24"/>
          <w:szCs w:val="24"/>
        </w:rPr>
        <w:footnoteReference w:id="80"/>
      </w:r>
      <w:r w:rsidRPr="00B92503">
        <w:rPr>
          <w:rFonts w:cs="Arial"/>
          <w:szCs w:val="24"/>
        </w:rPr>
        <w:t xml:space="preserve"> on independent living indicates three types of accommodation and support (depending on the k</w:t>
      </w:r>
      <w:r w:rsidR="00E9194C" w:rsidRPr="00B92503">
        <w:rPr>
          <w:rFonts w:cs="Arial"/>
          <w:szCs w:val="24"/>
        </w:rPr>
        <w:t>i</w:t>
      </w:r>
      <w:r w:rsidRPr="00B92503">
        <w:rPr>
          <w:rFonts w:cs="Arial"/>
          <w:szCs w:val="24"/>
        </w:rPr>
        <w:t xml:space="preserve">nd and severity of a given disability). </w:t>
      </w:r>
      <w:r w:rsidR="00E9194C" w:rsidRPr="00B92503">
        <w:rPr>
          <w:rFonts w:cs="Arial"/>
          <w:szCs w:val="24"/>
        </w:rPr>
        <w:t xml:space="preserve">These types of accommodation and support </w:t>
      </w:r>
      <w:proofErr w:type="gramStart"/>
      <w:r w:rsidR="00E9194C" w:rsidRPr="00B92503">
        <w:rPr>
          <w:rFonts w:cs="Arial"/>
          <w:szCs w:val="24"/>
        </w:rPr>
        <w:t>still persist</w:t>
      </w:r>
      <w:proofErr w:type="gramEnd"/>
      <w:r w:rsidR="00E9194C" w:rsidRPr="00B92503">
        <w:rPr>
          <w:rFonts w:cs="Arial"/>
          <w:szCs w:val="24"/>
        </w:rPr>
        <w:t xml:space="preserve"> to date. </w:t>
      </w:r>
    </w:p>
    <w:p w:rsidR="00E32B1A" w:rsidRPr="00B92503" w:rsidRDefault="00E32B1A" w:rsidP="00B92503">
      <w:pPr>
        <w:rPr>
          <w:rFonts w:cs="Arial"/>
          <w:szCs w:val="24"/>
        </w:rPr>
      </w:pPr>
    </w:p>
    <w:p w:rsidR="00E9194C" w:rsidRPr="00B92503" w:rsidRDefault="001C3820" w:rsidP="00E32B1A">
      <w:pPr>
        <w:pStyle w:val="ListParagraph"/>
        <w:numPr>
          <w:ilvl w:val="0"/>
          <w:numId w:val="26"/>
        </w:numPr>
        <w:ind w:left="567" w:hanging="567"/>
      </w:pPr>
      <w:r w:rsidRPr="00B92503">
        <w:t>To respond to the needs of disabled people with profound (intellectual) disability and associated disabilities or illnesses (</w:t>
      </w:r>
      <w:r w:rsidR="00E1309A" w:rsidRPr="00B92503">
        <w:t>poly</w:t>
      </w:r>
      <w:r w:rsidR="000C141B" w:rsidRPr="00B92503">
        <w:t>-</w:t>
      </w:r>
      <w:r w:rsidR="00E1309A" w:rsidRPr="00B92503">
        <w:t>handicap</w:t>
      </w:r>
      <w:r w:rsidRPr="00B92503">
        <w:t xml:space="preserve">), autistic spectrum disorders, challenging behaviour or severe mental health problems, service provision is systematically </w:t>
      </w:r>
      <w:r w:rsidR="001506A7" w:rsidRPr="00B92503">
        <w:t>organized by specialized providers</w:t>
      </w:r>
      <w:r w:rsidR="00E1309A" w:rsidRPr="00B92503">
        <w:t>.</w:t>
      </w:r>
      <w:r w:rsidR="00E9194C" w:rsidRPr="00B92503">
        <w:t xml:space="preserve"> </w:t>
      </w:r>
      <w:r w:rsidRPr="00B92503">
        <w:t>However</w:t>
      </w:r>
      <w:r w:rsidR="000C141B" w:rsidRPr="00B92503">
        <w:t>,</w:t>
      </w:r>
      <w:r w:rsidRPr="00B92503">
        <w:t xml:space="preserve"> it should give a framework of individualised support for the resident, involving him</w:t>
      </w:r>
      <w:r w:rsidR="00E9194C" w:rsidRPr="00B92503">
        <w:t xml:space="preserve"> or her</w:t>
      </w:r>
      <w:r w:rsidRPr="00B92503">
        <w:t xml:space="preserve"> as much as possible in the </w:t>
      </w:r>
      <w:r w:rsidR="00A437C7" w:rsidRPr="00B92503">
        <w:t>p</w:t>
      </w:r>
      <w:r w:rsidRPr="00B92503">
        <w:t xml:space="preserve">ersonal </w:t>
      </w:r>
      <w:r w:rsidR="00A437C7" w:rsidRPr="00B92503">
        <w:t>d</w:t>
      </w:r>
      <w:r w:rsidRPr="00B92503">
        <w:t xml:space="preserve">evelopment </w:t>
      </w:r>
      <w:r w:rsidR="00A437C7" w:rsidRPr="00B92503">
        <w:t>p</w:t>
      </w:r>
      <w:r w:rsidRPr="00B92503">
        <w:t xml:space="preserve">roject and assuring </w:t>
      </w:r>
      <w:r w:rsidR="00A437C7" w:rsidRPr="00B92503">
        <w:t>q</w:t>
      </w:r>
      <w:r w:rsidRPr="00B92503">
        <w:t xml:space="preserve">uality of </w:t>
      </w:r>
      <w:r w:rsidR="00A437C7" w:rsidRPr="00B92503">
        <w:t>l</w:t>
      </w:r>
      <w:r w:rsidRPr="00B92503">
        <w:t>ife. These residential homes have a certain number of residents (20 to 35 persons) always subdivided into smaller living units of about 10 people. Most attention will be on organisational aspects and group functioning rather than on individual independent community living. The main purpose is to give specific attention to the special</w:t>
      </w:r>
      <w:r w:rsidR="008C690F" w:rsidRPr="00B92503">
        <w:t>-</w:t>
      </w:r>
      <w:r w:rsidRPr="00B92503">
        <w:t>needs</w:t>
      </w:r>
      <w:r w:rsidR="008C690F" w:rsidRPr="00B92503">
        <w:t xml:space="preserve"> </w:t>
      </w:r>
      <w:r w:rsidRPr="00B92503">
        <w:t>residents may have, providing clear guidance and provide special technical aids, by specially qualified staff etc</w:t>
      </w:r>
      <w:r w:rsidR="00E1309A" w:rsidRPr="00B92503">
        <w:t>.</w:t>
      </w:r>
    </w:p>
    <w:p w:rsidR="00E9194C" w:rsidRPr="00B92503" w:rsidRDefault="008C690F" w:rsidP="00E32B1A">
      <w:pPr>
        <w:pStyle w:val="ListParagraph"/>
        <w:numPr>
          <w:ilvl w:val="0"/>
          <w:numId w:val="26"/>
        </w:numPr>
        <w:ind w:left="567" w:hanging="567"/>
      </w:pPr>
      <w:r w:rsidRPr="00B92503">
        <w:t>P</w:t>
      </w:r>
      <w:r w:rsidR="001C3820" w:rsidRPr="00B92503">
        <w:t xml:space="preserve">eople with </w:t>
      </w:r>
      <w:r w:rsidR="00E9194C" w:rsidRPr="00B92503">
        <w:t xml:space="preserve">a </w:t>
      </w:r>
      <w:r w:rsidR="001C3820" w:rsidRPr="00B92503">
        <w:t xml:space="preserve">milder disability, who need a low but constant level of support in everyday life, while allowing a “normal” social and individual sequence of day home and leisure (individual &amp; group) activities, private space, etc. These groups will be small residential groups of </w:t>
      </w:r>
      <w:r w:rsidR="00E32B1A">
        <w:t>eight</w:t>
      </w:r>
      <w:r w:rsidR="001C3820" w:rsidRPr="00B92503">
        <w:t xml:space="preserve"> disabled people with a basic support staff (educators, social workers or care staff depending on the disability needs) based </w:t>
      </w:r>
      <w:r w:rsidR="001C3820" w:rsidRPr="00B92503">
        <w:lastRenderedPageBreak/>
        <w:t>in a “normal” house in a “normal” social living environment (community based). The residents will be very much involved in the organisation of all activities, individual needs will be considered, etc. The ideal situation is to give a minimum of support and protection, allowing a maximum of individual planning and social contact to develop.</w:t>
      </w:r>
    </w:p>
    <w:p w:rsidR="00E32B1A" w:rsidRDefault="00E9194C" w:rsidP="005C6E68">
      <w:pPr>
        <w:pStyle w:val="ListParagraph"/>
        <w:numPr>
          <w:ilvl w:val="0"/>
          <w:numId w:val="26"/>
        </w:numPr>
        <w:ind w:left="567" w:hanging="567"/>
      </w:pPr>
      <w:proofErr w:type="gramStart"/>
      <w:r w:rsidRPr="00B92503">
        <w:t>T</w:t>
      </w:r>
      <w:r w:rsidR="001C3820" w:rsidRPr="00B92503">
        <w:t>he majority of</w:t>
      </w:r>
      <w:proofErr w:type="gramEnd"/>
      <w:r w:rsidR="001C3820" w:rsidRPr="00B92503">
        <w:t xml:space="preserve"> service providers offer support to disabled people who want to live independently. These individual support services are developed </w:t>
      </w:r>
      <w:proofErr w:type="gramStart"/>
      <w:r w:rsidR="001C3820" w:rsidRPr="00B92503">
        <w:t>on the basis of</w:t>
      </w:r>
      <w:proofErr w:type="gramEnd"/>
      <w:r w:rsidR="001C3820" w:rsidRPr="00B92503">
        <w:t xml:space="preserve"> an Individual Project Plan, where the disabled person is the major actor and will be designed together with her/him taking account of the competences, wishes, but also the economic and realistic environment of the person. This support will need a preparation phase, to build up the relationship between the disabled person and the support staff. After this, the disabled person, will normally live in his/her own flat, with only a targeted presence of support staff. The disabled person is active in everyday life, but he/she does not hire, control or direct the staff that support him. This provision still will be managed by a service provider.</w:t>
      </w:r>
    </w:p>
    <w:p w:rsidR="00E9194C" w:rsidRPr="00B92503" w:rsidRDefault="007D2197" w:rsidP="005C6E68">
      <w:pPr>
        <w:pStyle w:val="ListParagraph"/>
        <w:numPr>
          <w:ilvl w:val="0"/>
          <w:numId w:val="26"/>
        </w:numPr>
        <w:ind w:left="567" w:hanging="567"/>
      </w:pPr>
      <w:r w:rsidRPr="00B92503">
        <w:t>It should further be added that the benefits of long-term care insurance can make it easier to stay in one's own home</w:t>
      </w:r>
      <w:r w:rsidR="000C141B" w:rsidRPr="00B92503">
        <w:t>, p</w:t>
      </w:r>
      <w:r w:rsidR="00E1309A" w:rsidRPr="00B92503">
        <w:t>articularly</w:t>
      </w:r>
      <w:r w:rsidRPr="00B92503">
        <w:t xml:space="preserve"> for person with mental health </w:t>
      </w:r>
      <w:r w:rsidR="00801963" w:rsidRPr="00B92503">
        <w:t>disorder</w:t>
      </w:r>
      <w:r w:rsidR="008C690F" w:rsidRPr="00B92503">
        <w:t>,</w:t>
      </w:r>
      <w:r w:rsidR="00801963" w:rsidRPr="00B92503">
        <w:t xml:space="preserve"> the association </w:t>
      </w:r>
      <w:proofErr w:type="spellStart"/>
      <w:r w:rsidR="00801963" w:rsidRPr="00E32B1A">
        <w:rPr>
          <w:i/>
        </w:rPr>
        <w:t>Hëllef</w:t>
      </w:r>
      <w:proofErr w:type="spellEnd"/>
      <w:r w:rsidR="00801963" w:rsidRPr="00E32B1A">
        <w:rPr>
          <w:i/>
        </w:rPr>
        <w:t xml:space="preserve"> </w:t>
      </w:r>
      <w:proofErr w:type="spellStart"/>
      <w:r w:rsidR="00801963" w:rsidRPr="00E32B1A">
        <w:rPr>
          <w:i/>
        </w:rPr>
        <w:t>Dobaussen</w:t>
      </w:r>
      <w:proofErr w:type="spellEnd"/>
      <w:r w:rsidR="00A437C7" w:rsidRPr="00B92503">
        <w:rPr>
          <w:rStyle w:val="FootnoteReference"/>
          <w:i/>
          <w:sz w:val="24"/>
        </w:rPr>
        <w:footnoteReference w:id="81"/>
      </w:r>
      <w:r w:rsidR="00801963" w:rsidRPr="00B92503">
        <w:t xml:space="preserve"> </w:t>
      </w:r>
      <w:r w:rsidR="00E32B1A">
        <w:t>c</w:t>
      </w:r>
      <w:r w:rsidR="00801963" w:rsidRPr="00B92503">
        <w:t>ommitted to the model of social psychiatry aims at the care of people with mental disorders living in the community. Their services include open encounters, listening, help, support and care adapted to your specific situation, always respecting your personal values and choices.</w:t>
      </w:r>
    </w:p>
    <w:p w:rsidR="00173EF0" w:rsidRPr="00B92503" w:rsidRDefault="00173EF0" w:rsidP="00B92503">
      <w:pPr>
        <w:rPr>
          <w:rFonts w:cs="Arial"/>
          <w:b/>
          <w:szCs w:val="24"/>
        </w:rPr>
      </w:pPr>
    </w:p>
    <w:p w:rsidR="00205446" w:rsidRPr="00B92503" w:rsidRDefault="00173EF0" w:rsidP="00B92503">
      <w:pPr>
        <w:pStyle w:val="Heading3"/>
        <w:rPr>
          <w:rFonts w:cs="Arial"/>
          <w:szCs w:val="24"/>
        </w:rPr>
      </w:pPr>
      <w:r w:rsidRPr="00B92503">
        <w:rPr>
          <w:rFonts w:cs="Arial"/>
          <w:szCs w:val="24"/>
        </w:rPr>
        <w:t xml:space="preserve">What services, supports and measures are being developed and instituted to build long term support for the right to live independently and to be included in the community? </w:t>
      </w:r>
    </w:p>
    <w:p w:rsidR="00A20042" w:rsidRPr="00B92503" w:rsidRDefault="00A20042" w:rsidP="00E32B1A"/>
    <w:p w:rsidR="00205446" w:rsidRPr="00B92503" w:rsidRDefault="00D73296" w:rsidP="00E32B1A">
      <w:r w:rsidRPr="00B92503">
        <w:t xml:space="preserve">INFOHANDICAP should be mentioned here as the umbrella institution that offers </w:t>
      </w:r>
      <w:r w:rsidR="008E1753" w:rsidRPr="00B92503">
        <w:t>counselling and advice for person with disabilities and their relatives. The national care insurance covers questions about funding</w:t>
      </w:r>
      <w:r w:rsidR="008C690F" w:rsidRPr="00B92503">
        <w:t>,</w:t>
      </w:r>
      <w:r w:rsidR="008E1753" w:rsidRPr="00B92503">
        <w:t xml:space="preserve"> care</w:t>
      </w:r>
      <w:r w:rsidR="008C690F" w:rsidRPr="00B92503">
        <w:t>,</w:t>
      </w:r>
      <w:r w:rsidR="008E1753" w:rsidRPr="00B92503">
        <w:t xml:space="preserve"> and housing adaptations. Regional social services can take over social work measures and are available to people with disabilities and their relatives. Furthermore, disability specific counselling and competence centres are available</w:t>
      </w:r>
      <w:r w:rsidR="000A0FE9" w:rsidRPr="00B92503">
        <w:t>.</w:t>
      </w:r>
    </w:p>
    <w:p w:rsidR="00173EF0" w:rsidRPr="00B92503" w:rsidRDefault="00173EF0" w:rsidP="00E32B1A"/>
    <w:p w:rsidR="008E4ACD" w:rsidRPr="00B92503" w:rsidRDefault="008E4ACD" w:rsidP="00B92503">
      <w:pPr>
        <w:pStyle w:val="Heading2"/>
        <w:rPr>
          <w:rFonts w:cs="Arial"/>
          <w:szCs w:val="24"/>
        </w:rPr>
      </w:pPr>
      <w:bookmarkStart w:id="58" w:name="_TOC_250014"/>
      <w:bookmarkStart w:id="59" w:name="_Toc529874073"/>
      <w:bookmarkStart w:id="60" w:name="_Toc7612969"/>
      <w:bookmarkEnd w:id="58"/>
      <w:r w:rsidRPr="00B92503">
        <w:rPr>
          <w:rFonts w:cs="Arial"/>
          <w:szCs w:val="24"/>
        </w:rPr>
        <w:t xml:space="preserve">Satisfaction </w:t>
      </w:r>
      <w:r w:rsidR="007A1049" w:rsidRPr="00B92503">
        <w:rPr>
          <w:rFonts w:cs="Arial"/>
          <w:szCs w:val="24"/>
        </w:rPr>
        <w:t xml:space="preserve">levels </w:t>
      </w:r>
      <w:r w:rsidRPr="00B92503">
        <w:rPr>
          <w:rFonts w:cs="Arial"/>
          <w:szCs w:val="24"/>
        </w:rPr>
        <w:t>among persons with disabilities</w:t>
      </w:r>
      <w:bookmarkEnd w:id="59"/>
      <w:bookmarkEnd w:id="60"/>
    </w:p>
    <w:p w:rsidR="00A20042" w:rsidRPr="00B92503" w:rsidRDefault="00A20042" w:rsidP="00B92503">
      <w:pPr>
        <w:rPr>
          <w:rFonts w:cs="Arial"/>
          <w:szCs w:val="24"/>
        </w:rPr>
      </w:pPr>
    </w:p>
    <w:p w:rsidR="00AE0E9C" w:rsidRPr="00B92503" w:rsidRDefault="00A428E6" w:rsidP="00B92503">
      <w:pPr>
        <w:rPr>
          <w:rFonts w:cs="Arial"/>
          <w:szCs w:val="24"/>
        </w:rPr>
      </w:pPr>
      <w:r w:rsidRPr="00B92503">
        <w:rPr>
          <w:rFonts w:cs="Arial"/>
          <w:szCs w:val="24"/>
        </w:rPr>
        <w:t xml:space="preserve">It was not feasible to identify usable data on the housing situation of people with disabilities beyond the information provided </w:t>
      </w:r>
      <w:r w:rsidR="008B463C" w:rsidRPr="00B92503">
        <w:rPr>
          <w:rFonts w:cs="Arial"/>
          <w:szCs w:val="24"/>
        </w:rPr>
        <w:t>by the FRA Report 2017 that highlights a high approval rate (84</w:t>
      </w:r>
      <w:r w:rsidR="00E32B1A">
        <w:rPr>
          <w:rFonts w:cs="Arial"/>
          <w:szCs w:val="24"/>
        </w:rPr>
        <w:t xml:space="preserve"> </w:t>
      </w:r>
      <w:r w:rsidR="008B463C" w:rsidRPr="00B92503">
        <w:rPr>
          <w:rFonts w:cs="Arial"/>
          <w:szCs w:val="24"/>
        </w:rPr>
        <w:t>%) of persons with disabilities who agree or strongly agree with the statement: ‘</w:t>
      </w:r>
      <w:r w:rsidR="008B463C" w:rsidRPr="00B92503">
        <w:rPr>
          <w:rFonts w:cs="Arial"/>
          <w:i/>
          <w:szCs w:val="24"/>
        </w:rPr>
        <w:t>I feel I am free to decide how to live my life</w:t>
      </w:r>
      <w:r w:rsidR="008B463C" w:rsidRPr="00B92503">
        <w:rPr>
          <w:rFonts w:cs="Arial"/>
          <w:szCs w:val="24"/>
        </w:rPr>
        <w:t xml:space="preserve">’. The high approval rate may well be </w:t>
      </w:r>
      <w:proofErr w:type="gramStart"/>
      <w:r w:rsidR="008B463C" w:rsidRPr="00B92503">
        <w:rPr>
          <w:rFonts w:cs="Arial"/>
          <w:szCs w:val="24"/>
        </w:rPr>
        <w:t>due to the fact that</w:t>
      </w:r>
      <w:proofErr w:type="gramEnd"/>
      <w:r w:rsidR="008B463C" w:rsidRPr="00B92503">
        <w:rPr>
          <w:rFonts w:cs="Arial"/>
          <w:szCs w:val="24"/>
        </w:rPr>
        <w:t xml:space="preserve"> only persons living in a household were included in the sample. (see </w:t>
      </w:r>
      <w:r w:rsidR="00D12A3B" w:rsidRPr="00B92503">
        <w:rPr>
          <w:rFonts w:cs="Arial"/>
          <w:szCs w:val="24"/>
        </w:rPr>
        <w:t xml:space="preserve">Section </w:t>
      </w:r>
      <w:r w:rsidR="00E1309A" w:rsidRPr="00B92503">
        <w:rPr>
          <w:rFonts w:cs="Arial"/>
          <w:szCs w:val="24"/>
        </w:rPr>
        <w:t>1</w:t>
      </w:r>
      <w:r w:rsidR="008B463C" w:rsidRPr="00B92503">
        <w:rPr>
          <w:rFonts w:cs="Arial"/>
          <w:szCs w:val="24"/>
        </w:rPr>
        <w:t>).</w:t>
      </w:r>
    </w:p>
    <w:p w:rsidR="006F15C2" w:rsidRPr="00B92503" w:rsidRDefault="006F15C2" w:rsidP="00B92503">
      <w:pPr>
        <w:rPr>
          <w:rFonts w:cs="Arial"/>
          <w:szCs w:val="24"/>
        </w:rPr>
      </w:pPr>
    </w:p>
    <w:p w:rsidR="00A20042" w:rsidRPr="00B92503" w:rsidRDefault="00A20042" w:rsidP="00B92503">
      <w:pPr>
        <w:rPr>
          <w:rFonts w:eastAsia="MS Gothic" w:cs="Arial"/>
          <w:b/>
          <w:bCs/>
          <w:szCs w:val="24"/>
          <w:lang w:bidi="en-US"/>
        </w:rPr>
      </w:pPr>
      <w:bookmarkStart w:id="61" w:name="_TOC_250013"/>
      <w:bookmarkStart w:id="62" w:name="_Toc529874074"/>
      <w:bookmarkEnd w:id="61"/>
      <w:r w:rsidRPr="00B92503">
        <w:rPr>
          <w:rFonts w:cs="Arial"/>
          <w:szCs w:val="24"/>
        </w:rPr>
        <w:br w:type="page"/>
      </w:r>
    </w:p>
    <w:p w:rsidR="008E4ACD" w:rsidRDefault="008E4ACD" w:rsidP="00B92503">
      <w:pPr>
        <w:pStyle w:val="Heading1"/>
        <w:numPr>
          <w:ilvl w:val="0"/>
          <w:numId w:val="0"/>
        </w:numPr>
        <w:rPr>
          <w:rFonts w:cs="Arial"/>
          <w:szCs w:val="24"/>
        </w:rPr>
      </w:pPr>
      <w:bookmarkStart w:id="63" w:name="_Toc7612970"/>
      <w:r w:rsidRPr="00B92503">
        <w:rPr>
          <w:rFonts w:cs="Arial"/>
          <w:szCs w:val="24"/>
        </w:rPr>
        <w:lastRenderedPageBreak/>
        <w:t xml:space="preserve">PART B – </w:t>
      </w:r>
      <w:r w:rsidR="00DA2456" w:rsidRPr="00B92503">
        <w:rPr>
          <w:rFonts w:cs="Arial"/>
          <w:szCs w:val="24"/>
        </w:rPr>
        <w:t>C</w:t>
      </w:r>
      <w:r w:rsidRPr="00B92503">
        <w:rPr>
          <w:rFonts w:cs="Arial"/>
          <w:szCs w:val="24"/>
        </w:rPr>
        <w:t>ritique and evaluation</w:t>
      </w:r>
      <w:bookmarkEnd w:id="62"/>
      <w:bookmarkEnd w:id="63"/>
    </w:p>
    <w:p w:rsidR="00E32B1A" w:rsidRPr="00E32B1A" w:rsidRDefault="00E32B1A" w:rsidP="00E32B1A">
      <w:pPr>
        <w:rPr>
          <w:lang w:bidi="en-US"/>
        </w:rPr>
      </w:pPr>
    </w:p>
    <w:p w:rsidR="008E4ACD" w:rsidRPr="00B92503" w:rsidRDefault="00A20042" w:rsidP="00B92503">
      <w:pPr>
        <w:pStyle w:val="Heading1"/>
        <w:numPr>
          <w:ilvl w:val="0"/>
          <w:numId w:val="23"/>
        </w:numPr>
        <w:ind w:left="567" w:hanging="567"/>
        <w:rPr>
          <w:rFonts w:cs="Arial"/>
          <w:szCs w:val="24"/>
        </w:rPr>
      </w:pPr>
      <w:bookmarkStart w:id="64" w:name="_TOC_250012"/>
      <w:bookmarkStart w:id="65" w:name="_Toc529874075"/>
      <w:bookmarkStart w:id="66" w:name="_Toc7612971"/>
      <w:r w:rsidRPr="00B92503">
        <w:rPr>
          <w:rFonts w:cs="Arial"/>
          <w:szCs w:val="24"/>
        </w:rPr>
        <w:t>O</w:t>
      </w:r>
      <w:r w:rsidR="008E4ACD" w:rsidRPr="00B92503">
        <w:rPr>
          <w:rFonts w:cs="Arial"/>
          <w:szCs w:val="24"/>
        </w:rPr>
        <w:t xml:space="preserve">bservations and recommendations of official </w:t>
      </w:r>
      <w:bookmarkEnd w:id="64"/>
      <w:r w:rsidR="008E4ACD" w:rsidRPr="00B92503">
        <w:rPr>
          <w:rFonts w:cs="Arial"/>
          <w:szCs w:val="24"/>
        </w:rPr>
        <w:t>bodies</w:t>
      </w:r>
      <w:bookmarkEnd w:id="65"/>
      <w:bookmarkEnd w:id="66"/>
    </w:p>
    <w:p w:rsidR="00A20042" w:rsidRPr="00B92503" w:rsidRDefault="00A20042" w:rsidP="00E32B1A">
      <w:bookmarkStart w:id="67" w:name="_Toc529874076"/>
    </w:p>
    <w:p w:rsidR="008E4ACD" w:rsidRPr="00B92503" w:rsidRDefault="008E4ACD" w:rsidP="00B92503">
      <w:pPr>
        <w:pStyle w:val="Heading2"/>
        <w:rPr>
          <w:rFonts w:cs="Arial"/>
          <w:szCs w:val="24"/>
        </w:rPr>
      </w:pPr>
      <w:bookmarkStart w:id="68" w:name="_TOC_250011"/>
      <w:bookmarkStart w:id="69" w:name="_Toc7612972"/>
      <w:r w:rsidRPr="00B92503">
        <w:rPr>
          <w:rFonts w:cs="Arial"/>
          <w:szCs w:val="24"/>
        </w:rPr>
        <w:t>Observations by the UN Committee on the Rights of Persons with Disabilities</w:t>
      </w:r>
      <w:bookmarkEnd w:id="67"/>
      <w:r w:rsidR="00C15268" w:rsidRPr="00B92503">
        <w:rPr>
          <w:rFonts w:cs="Arial"/>
          <w:szCs w:val="24"/>
        </w:rPr>
        <w:t xml:space="preserve"> on Article </w:t>
      </w:r>
      <w:bookmarkEnd w:id="68"/>
      <w:r w:rsidR="00C15268" w:rsidRPr="00B92503">
        <w:rPr>
          <w:rFonts w:cs="Arial"/>
          <w:szCs w:val="24"/>
        </w:rPr>
        <w:t>19</w:t>
      </w:r>
      <w:bookmarkEnd w:id="69"/>
    </w:p>
    <w:p w:rsidR="00A20042" w:rsidRPr="00B92503" w:rsidRDefault="00A20042" w:rsidP="00B92503">
      <w:pPr>
        <w:rPr>
          <w:rFonts w:cs="Arial"/>
          <w:szCs w:val="24"/>
        </w:rPr>
      </w:pPr>
    </w:p>
    <w:p w:rsidR="00E77B7C" w:rsidRPr="00B92503" w:rsidRDefault="00E77B7C" w:rsidP="00B92503">
      <w:pPr>
        <w:rPr>
          <w:rFonts w:cs="Arial"/>
          <w:szCs w:val="24"/>
        </w:rPr>
      </w:pPr>
      <w:r w:rsidRPr="00B92503">
        <w:rPr>
          <w:rFonts w:cs="Arial"/>
          <w:szCs w:val="24"/>
        </w:rPr>
        <w:t>The Committee observes on article 19 “</w:t>
      </w:r>
      <w:r w:rsidRPr="00B92503">
        <w:rPr>
          <w:rFonts w:cs="Arial"/>
          <w:i/>
          <w:szCs w:val="24"/>
        </w:rPr>
        <w:t>Living independently and being included in the community</w:t>
      </w:r>
      <w:r w:rsidRPr="00B92503">
        <w:rPr>
          <w:rFonts w:cs="Arial"/>
          <w:szCs w:val="24"/>
        </w:rPr>
        <w:t>” and expresses the following concerns</w:t>
      </w:r>
      <w:r w:rsidR="00E32B1A">
        <w:rPr>
          <w:rFonts w:cs="Arial"/>
          <w:szCs w:val="24"/>
        </w:rPr>
        <w:t>.</w:t>
      </w:r>
      <w:r w:rsidR="002E5B74" w:rsidRPr="00B92503">
        <w:rPr>
          <w:rStyle w:val="FootnoteReference"/>
          <w:rFonts w:cs="Arial"/>
          <w:sz w:val="24"/>
          <w:szCs w:val="24"/>
        </w:rPr>
        <w:footnoteReference w:id="82"/>
      </w:r>
      <w:r w:rsidRPr="00B92503">
        <w:rPr>
          <w:rFonts w:cs="Arial"/>
          <w:szCs w:val="24"/>
        </w:rPr>
        <w:t xml:space="preserve"> </w:t>
      </w:r>
    </w:p>
    <w:p w:rsidR="00A20042" w:rsidRPr="00B92503" w:rsidRDefault="00A20042" w:rsidP="00B92503">
      <w:pPr>
        <w:rPr>
          <w:rFonts w:cs="Arial"/>
          <w:szCs w:val="24"/>
        </w:rPr>
      </w:pPr>
    </w:p>
    <w:p w:rsidR="00E77B7C" w:rsidRDefault="00DD5369" w:rsidP="00B92503">
      <w:pPr>
        <w:rPr>
          <w:rFonts w:cs="Arial"/>
          <w:szCs w:val="24"/>
        </w:rPr>
      </w:pPr>
      <w:r w:rsidRPr="00B92503">
        <w:rPr>
          <w:rFonts w:cs="Arial"/>
          <w:szCs w:val="24"/>
        </w:rPr>
        <w:t xml:space="preserve">(a) </w:t>
      </w:r>
      <w:r w:rsidR="00E77B7C" w:rsidRPr="00B92503">
        <w:rPr>
          <w:rFonts w:cs="Arial"/>
          <w:szCs w:val="24"/>
        </w:rPr>
        <w:t>Laws in place, including the reform to Act 7014 of 8 July 2016, which continue to curtail the right to independent living by setting limits and controls on persons with disabilities</w:t>
      </w:r>
      <w:r w:rsidR="003D1D5F">
        <w:rPr>
          <w:rFonts w:cs="Arial"/>
          <w:szCs w:val="24"/>
        </w:rPr>
        <w:t>;</w:t>
      </w:r>
      <w:r w:rsidR="00E77B7C" w:rsidRPr="00B92503">
        <w:rPr>
          <w:rStyle w:val="FootnoteReference"/>
          <w:rFonts w:cs="Arial"/>
          <w:sz w:val="24"/>
          <w:szCs w:val="24"/>
        </w:rPr>
        <w:footnoteReference w:id="83"/>
      </w:r>
      <w:r w:rsidRPr="00B92503">
        <w:rPr>
          <w:rFonts w:cs="Arial"/>
          <w:szCs w:val="24"/>
        </w:rPr>
        <w:t xml:space="preserve"> (b) </w:t>
      </w:r>
      <w:r w:rsidR="00E77B7C" w:rsidRPr="00B92503">
        <w:rPr>
          <w:rFonts w:cs="Arial"/>
          <w:szCs w:val="24"/>
        </w:rPr>
        <w:t>The lack of an action plan for the deinstitutionalization of persons with disabilities with a specific timeline and appropriate funding; (c)</w:t>
      </w:r>
      <w:r w:rsidRPr="00B92503">
        <w:rPr>
          <w:rFonts w:cs="Arial"/>
          <w:szCs w:val="24"/>
        </w:rPr>
        <w:t xml:space="preserve"> </w:t>
      </w:r>
      <w:r w:rsidR="00E77B7C" w:rsidRPr="00B92503">
        <w:rPr>
          <w:rFonts w:cs="Arial"/>
          <w:szCs w:val="24"/>
        </w:rPr>
        <w:t>The absence of a clear strategy to promote and ensure the transition to full independent living for all persons with disabilities within the community, including with support of a personal assistant, and that future plans and construction projects still contain elements that limit the rights of persons with disabilities under article 19.</w:t>
      </w:r>
    </w:p>
    <w:p w:rsidR="00E32B1A" w:rsidRPr="00B92503" w:rsidRDefault="00E32B1A" w:rsidP="00B92503">
      <w:pPr>
        <w:rPr>
          <w:rFonts w:cs="Arial"/>
          <w:szCs w:val="24"/>
        </w:rPr>
      </w:pPr>
    </w:p>
    <w:p w:rsidR="00A20042" w:rsidRPr="00B92503" w:rsidRDefault="00E77B7C" w:rsidP="00B92503">
      <w:pPr>
        <w:rPr>
          <w:rFonts w:cs="Arial"/>
          <w:szCs w:val="24"/>
        </w:rPr>
      </w:pPr>
      <w:r w:rsidRPr="00B92503">
        <w:rPr>
          <w:rFonts w:cs="Arial"/>
          <w:szCs w:val="24"/>
        </w:rPr>
        <w:t xml:space="preserve">The Committee recommends that the State party </w:t>
      </w:r>
      <w:r w:rsidR="00DD5369" w:rsidRPr="00B92503">
        <w:rPr>
          <w:rFonts w:cs="Arial"/>
          <w:szCs w:val="24"/>
        </w:rPr>
        <w:t xml:space="preserve">should </w:t>
      </w:r>
      <w:r w:rsidRPr="00B92503">
        <w:rPr>
          <w:rFonts w:cs="Arial"/>
          <w:szCs w:val="24"/>
        </w:rPr>
        <w:t>take into account the General Comment No. 5 on article 19 of the Committee (2017) and:</w:t>
      </w:r>
      <w:r w:rsidR="00DD5369" w:rsidRPr="00B92503">
        <w:rPr>
          <w:rFonts w:cs="Arial"/>
          <w:szCs w:val="24"/>
        </w:rPr>
        <w:t xml:space="preserve"> (a) </w:t>
      </w:r>
      <w:r w:rsidRPr="00B92503">
        <w:rPr>
          <w:rFonts w:cs="Arial"/>
          <w:szCs w:val="24"/>
        </w:rPr>
        <w:t>Adopt the necessary legal and other measures, including repealing Reform Act 7014 and relevant disability insurance systems, replacing them by legislation promoting the right to independent living and being included in the community and providing for, among others, personal assistance, and clarifying the responsibilities and resource allocations of central and local authorities;</w:t>
      </w:r>
      <w:r w:rsidR="00DD5369" w:rsidRPr="00B92503">
        <w:rPr>
          <w:rFonts w:cs="Arial"/>
          <w:szCs w:val="24"/>
        </w:rPr>
        <w:t xml:space="preserve"> </w:t>
      </w:r>
      <w:r w:rsidRPr="00B92503">
        <w:rPr>
          <w:rFonts w:cs="Arial"/>
          <w:szCs w:val="24"/>
        </w:rPr>
        <w:t>(b)</w:t>
      </w:r>
      <w:r w:rsidR="00DD5369" w:rsidRPr="00B92503">
        <w:rPr>
          <w:rFonts w:cs="Arial"/>
          <w:szCs w:val="24"/>
        </w:rPr>
        <w:t xml:space="preserve"> </w:t>
      </w:r>
      <w:r w:rsidRPr="00B92503">
        <w:rPr>
          <w:rFonts w:cs="Arial"/>
          <w:szCs w:val="24"/>
        </w:rPr>
        <w:t>Develop and implement an effective deinstitutionalisation plan, with a clear timeframe and benchmarks, involving persons with disabilities through their representative organi</w:t>
      </w:r>
      <w:r w:rsidR="007E08F2">
        <w:rPr>
          <w:rFonts w:cs="Arial"/>
          <w:szCs w:val="24"/>
        </w:rPr>
        <w:t>s</w:t>
      </w:r>
      <w:r w:rsidRPr="00B92503">
        <w:rPr>
          <w:rFonts w:cs="Arial"/>
          <w:szCs w:val="24"/>
        </w:rPr>
        <w:t>ations in all stages;</w:t>
      </w:r>
      <w:r w:rsidR="00DD5369" w:rsidRPr="00B92503">
        <w:rPr>
          <w:rFonts w:cs="Arial"/>
          <w:szCs w:val="24"/>
        </w:rPr>
        <w:t xml:space="preserve"> </w:t>
      </w:r>
      <w:r w:rsidRPr="00B92503">
        <w:rPr>
          <w:rFonts w:cs="Arial"/>
          <w:szCs w:val="24"/>
        </w:rPr>
        <w:t>(c)</w:t>
      </w:r>
      <w:r w:rsidR="00DD5369" w:rsidRPr="00B92503">
        <w:rPr>
          <w:rFonts w:cs="Arial"/>
          <w:szCs w:val="24"/>
        </w:rPr>
        <w:t xml:space="preserve"> </w:t>
      </w:r>
      <w:r w:rsidRPr="00B92503">
        <w:rPr>
          <w:rFonts w:cs="Arial"/>
          <w:szCs w:val="24"/>
        </w:rPr>
        <w:t>Adopt the necessary measures to ensure that persons with disabilities have a legal entitlement to a sufficient personal budget for independent living, which takes into account the additional costs related to disability, and at the same time, redirect resources from institutionalization to community-based services increasing the availability of personal assistance.</w:t>
      </w:r>
      <w:bookmarkStart w:id="70" w:name="_Toc529874077"/>
    </w:p>
    <w:p w:rsidR="00A20042" w:rsidRPr="00B92503" w:rsidRDefault="00A20042" w:rsidP="00B92503">
      <w:pPr>
        <w:rPr>
          <w:rFonts w:cs="Arial"/>
          <w:szCs w:val="24"/>
        </w:rPr>
      </w:pPr>
    </w:p>
    <w:p w:rsidR="00641C9C" w:rsidRPr="00B92503" w:rsidRDefault="008E4ACD" w:rsidP="00B7559B">
      <w:pPr>
        <w:pStyle w:val="Heading2"/>
      </w:pPr>
      <w:bookmarkStart w:id="71" w:name="_Toc7612973"/>
      <w:r w:rsidRPr="00B92503">
        <w:t>Recent observations by other official European and international bodies</w:t>
      </w:r>
      <w:bookmarkEnd w:id="70"/>
      <w:bookmarkEnd w:id="71"/>
    </w:p>
    <w:p w:rsidR="00B7559B" w:rsidRDefault="00B7559B" w:rsidP="00B7559B">
      <w:pPr>
        <w:rPr>
          <w:lang w:val="en-US"/>
        </w:rPr>
      </w:pPr>
    </w:p>
    <w:p w:rsidR="008E4ACD" w:rsidRPr="00B92503" w:rsidRDefault="00B7559B" w:rsidP="00B7559B">
      <w:r>
        <w:rPr>
          <w:lang w:val="en-US"/>
        </w:rPr>
        <w:t>N</w:t>
      </w:r>
      <w:r w:rsidR="00641C9C" w:rsidRPr="00B92503">
        <w:rPr>
          <w:lang w:val="en-US"/>
        </w:rPr>
        <w:t>o information found</w:t>
      </w:r>
      <w:r>
        <w:rPr>
          <w:lang w:val="en-US"/>
        </w:rPr>
        <w:t>.</w:t>
      </w:r>
    </w:p>
    <w:p w:rsidR="008E4ACD" w:rsidRPr="00B92503" w:rsidRDefault="008E4ACD" w:rsidP="00B7559B">
      <w:pPr>
        <w:rPr>
          <w:rFonts w:cs="Arial"/>
          <w:b/>
          <w:szCs w:val="24"/>
        </w:rPr>
      </w:pPr>
    </w:p>
    <w:p w:rsidR="008E4ACD" w:rsidRPr="00B92503" w:rsidRDefault="008E4ACD" w:rsidP="00B92503">
      <w:pPr>
        <w:pStyle w:val="Heading2"/>
        <w:rPr>
          <w:rFonts w:cs="Arial"/>
          <w:szCs w:val="24"/>
        </w:rPr>
      </w:pPr>
      <w:bookmarkStart w:id="72" w:name="_TOC_250010"/>
      <w:bookmarkStart w:id="73" w:name="_Toc529874078"/>
      <w:bookmarkStart w:id="74" w:name="_Toc7612974"/>
      <w:r w:rsidRPr="00B92503">
        <w:rPr>
          <w:rFonts w:cs="Arial"/>
          <w:szCs w:val="24"/>
        </w:rPr>
        <w:t xml:space="preserve">Observations and recommendations by national human rights </w:t>
      </w:r>
      <w:bookmarkEnd w:id="72"/>
      <w:r w:rsidRPr="00B92503">
        <w:rPr>
          <w:rFonts w:cs="Arial"/>
          <w:szCs w:val="24"/>
        </w:rPr>
        <w:t>bodies</w:t>
      </w:r>
      <w:bookmarkEnd w:id="73"/>
      <w:bookmarkEnd w:id="74"/>
    </w:p>
    <w:p w:rsidR="00B7559B" w:rsidRPr="006C2378" w:rsidRDefault="00B7559B" w:rsidP="00B92503">
      <w:pPr>
        <w:ind w:left="567" w:hanging="567"/>
        <w:rPr>
          <w:rFonts w:cs="Arial"/>
          <w:szCs w:val="24"/>
        </w:rPr>
      </w:pPr>
    </w:p>
    <w:p w:rsidR="007C2D78" w:rsidRPr="00B92503" w:rsidRDefault="002E5B74" w:rsidP="00B92503">
      <w:pPr>
        <w:ind w:left="567" w:hanging="567"/>
        <w:rPr>
          <w:rFonts w:cs="Arial"/>
          <w:szCs w:val="24"/>
          <w:lang w:val="fr-FR"/>
        </w:rPr>
      </w:pPr>
      <w:r w:rsidRPr="00B92503">
        <w:rPr>
          <w:rFonts w:cs="Arial"/>
          <w:szCs w:val="24"/>
          <w:lang w:val="fr-FR"/>
        </w:rPr>
        <w:t xml:space="preserve">The </w:t>
      </w:r>
      <w:r w:rsidR="00D12A3B" w:rsidRPr="00B92503">
        <w:rPr>
          <w:rFonts w:cs="Arial"/>
          <w:szCs w:val="24"/>
          <w:lang w:val="fr-FR"/>
        </w:rPr>
        <w:t>Commission Consultative des Droits de l'Homme (</w:t>
      </w:r>
      <w:r w:rsidRPr="00B92503">
        <w:rPr>
          <w:rFonts w:cs="Arial"/>
          <w:szCs w:val="24"/>
          <w:lang w:val="fr-FR"/>
        </w:rPr>
        <w:t>CC</w:t>
      </w:r>
      <w:r w:rsidR="007C2D78" w:rsidRPr="00B92503">
        <w:rPr>
          <w:rFonts w:cs="Arial"/>
          <w:szCs w:val="24"/>
          <w:lang w:val="fr-FR"/>
        </w:rPr>
        <w:t>DH</w:t>
      </w:r>
      <w:r w:rsidR="00A20042" w:rsidRPr="00B92503">
        <w:rPr>
          <w:rFonts w:cs="Arial"/>
          <w:szCs w:val="24"/>
          <w:lang w:val="fr-FR"/>
        </w:rPr>
        <w:t>)</w:t>
      </w:r>
      <w:r w:rsidR="007C2D78" w:rsidRPr="00B92503">
        <w:rPr>
          <w:rStyle w:val="FootnoteReference"/>
          <w:rFonts w:cs="Arial"/>
          <w:sz w:val="24"/>
          <w:szCs w:val="24"/>
        </w:rPr>
        <w:footnoteReference w:id="84"/>
      </w:r>
      <w:r w:rsidR="007C2D78" w:rsidRPr="00B92503">
        <w:rPr>
          <w:rFonts w:cs="Arial"/>
          <w:szCs w:val="24"/>
          <w:lang w:val="fr-FR"/>
        </w:rPr>
        <w:t xml:space="preserve"> states </w:t>
      </w:r>
      <w:proofErr w:type="spellStart"/>
      <w:proofErr w:type="gramStart"/>
      <w:r w:rsidR="007C2D78" w:rsidRPr="00B92503">
        <w:rPr>
          <w:rFonts w:cs="Arial"/>
          <w:szCs w:val="24"/>
          <w:lang w:val="fr-FR"/>
        </w:rPr>
        <w:t>that</w:t>
      </w:r>
      <w:proofErr w:type="spellEnd"/>
      <w:r w:rsidR="007C2D78" w:rsidRPr="00B92503">
        <w:rPr>
          <w:rFonts w:cs="Arial"/>
          <w:szCs w:val="24"/>
          <w:lang w:val="fr-FR"/>
        </w:rPr>
        <w:t>:</w:t>
      </w:r>
      <w:proofErr w:type="gramEnd"/>
    </w:p>
    <w:p w:rsidR="007C2D78" w:rsidRPr="00B92503" w:rsidRDefault="007C2D78" w:rsidP="00B92503">
      <w:pPr>
        <w:rPr>
          <w:rFonts w:cs="Arial"/>
          <w:szCs w:val="24"/>
        </w:rPr>
      </w:pPr>
      <w:r w:rsidRPr="00B92503">
        <w:rPr>
          <w:rFonts w:cs="Arial"/>
          <w:szCs w:val="24"/>
        </w:rPr>
        <w:lastRenderedPageBreak/>
        <w:t>Many people still cannot afford independent living, and new, affordable forms of housing must therefore be developed.</w:t>
      </w:r>
    </w:p>
    <w:p w:rsidR="00A20042" w:rsidRPr="00B92503" w:rsidRDefault="00A20042" w:rsidP="00B92503">
      <w:pPr>
        <w:rPr>
          <w:rFonts w:cs="Arial"/>
          <w:szCs w:val="24"/>
        </w:rPr>
      </w:pPr>
    </w:p>
    <w:p w:rsidR="0075459F" w:rsidRPr="00B92503" w:rsidRDefault="007C2D78" w:rsidP="00B92503">
      <w:pPr>
        <w:rPr>
          <w:rFonts w:cs="Arial"/>
          <w:szCs w:val="24"/>
        </w:rPr>
      </w:pPr>
      <w:r w:rsidRPr="00B92503">
        <w:rPr>
          <w:rFonts w:cs="Arial"/>
          <w:szCs w:val="24"/>
        </w:rPr>
        <w:t>Despite barrier-free infrastructures and services, many people with disabilities are still dependent on help and assistance.</w:t>
      </w:r>
    </w:p>
    <w:p w:rsidR="00A20042" w:rsidRPr="00B92503" w:rsidRDefault="00A20042" w:rsidP="00B92503">
      <w:pPr>
        <w:rPr>
          <w:rFonts w:cs="Arial"/>
          <w:szCs w:val="24"/>
        </w:rPr>
      </w:pPr>
    </w:p>
    <w:p w:rsidR="007C2D78" w:rsidRPr="00B92503" w:rsidRDefault="0075459F" w:rsidP="00B92503">
      <w:pPr>
        <w:rPr>
          <w:rFonts w:cs="Arial"/>
          <w:szCs w:val="24"/>
        </w:rPr>
      </w:pPr>
      <w:r w:rsidRPr="00B92503">
        <w:rPr>
          <w:rFonts w:cs="Arial"/>
          <w:szCs w:val="24"/>
        </w:rPr>
        <w:t xml:space="preserve">In this context, the question for CCDH arises whether it would not be appropriate to consider the establishment of an independent focal point that would act as a mechanism to promote and protect the rights and interests of people with disabilities (in the public and private sectors) who would receive complaints, have legal standing and monitor the implementation of the UN-CRPD, on the one hand, and monitor its implementation, on the other hand, with the possibility of informing the government about aspects for which existing legislation is inadequate. An additional task for this focal point would be the external monitoring of the institution for the disabled, </w:t>
      </w:r>
      <w:proofErr w:type="gramStart"/>
      <w:r w:rsidRPr="00B92503">
        <w:rPr>
          <w:rFonts w:cs="Arial"/>
          <w:szCs w:val="24"/>
        </w:rPr>
        <w:t>in particular those</w:t>
      </w:r>
      <w:proofErr w:type="gramEnd"/>
      <w:r w:rsidRPr="00B92503">
        <w:rPr>
          <w:rFonts w:cs="Arial"/>
          <w:szCs w:val="24"/>
        </w:rPr>
        <w:t xml:space="preserve"> houses where people are dependent.</w:t>
      </w:r>
      <w:r w:rsidRPr="00B92503">
        <w:rPr>
          <w:rStyle w:val="FootnoteReference"/>
          <w:rFonts w:cs="Arial"/>
          <w:sz w:val="24"/>
          <w:szCs w:val="24"/>
        </w:rPr>
        <w:footnoteReference w:id="85"/>
      </w:r>
    </w:p>
    <w:p w:rsidR="00A20042" w:rsidRPr="00B92503" w:rsidRDefault="00A20042" w:rsidP="00B92503">
      <w:pPr>
        <w:rPr>
          <w:rFonts w:cs="Arial"/>
          <w:szCs w:val="24"/>
        </w:rPr>
      </w:pPr>
    </w:p>
    <w:p w:rsidR="008E4ACD" w:rsidRPr="00B92503" w:rsidRDefault="007C2D78" w:rsidP="00B92503">
      <w:pPr>
        <w:rPr>
          <w:rFonts w:cs="Arial"/>
          <w:szCs w:val="24"/>
        </w:rPr>
      </w:pPr>
      <w:r w:rsidRPr="00B92503">
        <w:rPr>
          <w:rFonts w:cs="Arial"/>
          <w:szCs w:val="24"/>
        </w:rPr>
        <w:t>The benefits of long-term care insurance are a very important aspect in deciding whether a person with a disability can live a self-determined life or not. In determining the benefits that can be claimed, however, the so-called institutional support is still preferred. The limited availability of personalised aids and the limited possibilities for converting benefits in kind into cash benefits severely restrict the possibilities for a self-determined lifestyle.</w:t>
      </w:r>
      <w:r w:rsidRPr="00B92503">
        <w:rPr>
          <w:rStyle w:val="FootnoteReference"/>
          <w:rFonts w:cs="Arial"/>
          <w:sz w:val="24"/>
          <w:szCs w:val="24"/>
        </w:rPr>
        <w:footnoteReference w:id="86"/>
      </w:r>
      <w:r w:rsidR="00164BFD" w:rsidRPr="00B92503">
        <w:rPr>
          <w:rFonts w:cs="Arial"/>
          <w:szCs w:val="24"/>
        </w:rPr>
        <w:t xml:space="preserve"> </w:t>
      </w:r>
    </w:p>
    <w:p w:rsidR="00A20042" w:rsidRPr="00B92503" w:rsidRDefault="00A20042" w:rsidP="00B7559B">
      <w:bookmarkStart w:id="75" w:name="_Toc529874079"/>
    </w:p>
    <w:p w:rsidR="008E4ACD" w:rsidRPr="00B92503" w:rsidRDefault="008E4ACD" w:rsidP="00B92503">
      <w:pPr>
        <w:pStyle w:val="Heading2"/>
        <w:rPr>
          <w:rFonts w:cs="Arial"/>
          <w:szCs w:val="24"/>
        </w:rPr>
      </w:pPr>
      <w:bookmarkStart w:id="76" w:name="_TOC_250009"/>
      <w:bookmarkStart w:id="77" w:name="_Toc7612975"/>
      <w:r w:rsidRPr="00B92503">
        <w:rPr>
          <w:rFonts w:cs="Arial"/>
          <w:szCs w:val="24"/>
        </w:rPr>
        <w:t xml:space="preserve">Observations and recommendations by national or regional/devolved Parliaments and </w:t>
      </w:r>
      <w:bookmarkEnd w:id="76"/>
      <w:r w:rsidRPr="00B92503">
        <w:rPr>
          <w:rFonts w:cs="Arial"/>
          <w:szCs w:val="24"/>
        </w:rPr>
        <w:t>assemblies</w:t>
      </w:r>
      <w:bookmarkEnd w:id="75"/>
      <w:bookmarkEnd w:id="77"/>
    </w:p>
    <w:p w:rsidR="00A20042" w:rsidRPr="00B92503" w:rsidRDefault="00A20042" w:rsidP="00B92503">
      <w:pPr>
        <w:rPr>
          <w:rFonts w:cs="Arial"/>
          <w:szCs w:val="24"/>
        </w:rPr>
      </w:pPr>
    </w:p>
    <w:p w:rsidR="008E4ACD" w:rsidRPr="00B92503" w:rsidRDefault="00B7559B" w:rsidP="00B92503">
      <w:pPr>
        <w:rPr>
          <w:rFonts w:cs="Arial"/>
          <w:szCs w:val="24"/>
        </w:rPr>
      </w:pPr>
      <w:r>
        <w:rPr>
          <w:rFonts w:cs="Arial"/>
          <w:szCs w:val="24"/>
        </w:rPr>
        <w:t>N</w:t>
      </w:r>
      <w:r w:rsidR="00A437C7" w:rsidRPr="00B92503">
        <w:rPr>
          <w:rFonts w:cs="Arial"/>
          <w:szCs w:val="24"/>
        </w:rPr>
        <w:t>o information found</w:t>
      </w:r>
      <w:r>
        <w:rPr>
          <w:rFonts w:cs="Arial"/>
          <w:szCs w:val="24"/>
        </w:rPr>
        <w:t>.</w:t>
      </w:r>
    </w:p>
    <w:p w:rsidR="008E4ACD" w:rsidRPr="00B92503" w:rsidRDefault="008E4ACD" w:rsidP="00B92503">
      <w:pPr>
        <w:rPr>
          <w:rFonts w:cs="Arial"/>
          <w:b/>
          <w:szCs w:val="24"/>
        </w:rPr>
      </w:pPr>
    </w:p>
    <w:p w:rsidR="008E4ACD" w:rsidRPr="00B92503" w:rsidRDefault="008E4ACD" w:rsidP="00B7559B">
      <w:pPr>
        <w:pStyle w:val="Heading1"/>
      </w:pPr>
      <w:bookmarkStart w:id="78" w:name="_TOC_250008"/>
      <w:bookmarkStart w:id="79" w:name="_Toc529874080"/>
      <w:bookmarkStart w:id="80" w:name="_Toc7612976"/>
      <w:bookmarkEnd w:id="78"/>
      <w:r w:rsidRPr="00B92503">
        <w:t>Views and perspectives of civil society</w:t>
      </w:r>
      <w:r w:rsidR="00E1022C" w:rsidRPr="00B92503">
        <w:t xml:space="preserve"> including DPOs</w:t>
      </w:r>
      <w:bookmarkEnd w:id="79"/>
      <w:bookmarkEnd w:id="80"/>
    </w:p>
    <w:p w:rsidR="00A20042" w:rsidRPr="00B92503" w:rsidRDefault="00A20042" w:rsidP="00B92503">
      <w:pPr>
        <w:rPr>
          <w:rFonts w:cs="Arial"/>
          <w:szCs w:val="24"/>
        </w:rPr>
      </w:pPr>
    </w:p>
    <w:p w:rsidR="00A27F65" w:rsidRPr="00B92503" w:rsidRDefault="00A27F65" w:rsidP="00B92503">
      <w:pPr>
        <w:rPr>
          <w:rFonts w:cs="Arial"/>
          <w:szCs w:val="24"/>
        </w:rPr>
      </w:pPr>
      <w:r w:rsidRPr="00B92503">
        <w:rPr>
          <w:rFonts w:cs="Arial"/>
          <w:szCs w:val="24"/>
        </w:rPr>
        <w:t>The organi</w:t>
      </w:r>
      <w:r w:rsidR="007E08F2">
        <w:rPr>
          <w:rFonts w:cs="Arial"/>
          <w:szCs w:val="24"/>
        </w:rPr>
        <w:t>s</w:t>
      </w:r>
      <w:r w:rsidRPr="00B92503">
        <w:rPr>
          <w:rFonts w:cs="Arial"/>
          <w:szCs w:val="24"/>
        </w:rPr>
        <w:t>ation “</w:t>
      </w:r>
      <w:proofErr w:type="spellStart"/>
      <w:r w:rsidRPr="00B92503">
        <w:rPr>
          <w:rFonts w:cs="Arial"/>
          <w:szCs w:val="24"/>
        </w:rPr>
        <w:t>Trisomie</w:t>
      </w:r>
      <w:proofErr w:type="spellEnd"/>
      <w:r w:rsidRPr="00B92503">
        <w:rPr>
          <w:rFonts w:cs="Arial"/>
          <w:szCs w:val="24"/>
        </w:rPr>
        <w:t xml:space="preserve"> 21</w:t>
      </w:r>
      <w:r w:rsidR="003E14EC" w:rsidRPr="00B92503">
        <w:rPr>
          <w:rFonts w:cs="Arial"/>
          <w:szCs w:val="24"/>
        </w:rPr>
        <w:t xml:space="preserve"> </w:t>
      </w:r>
      <w:proofErr w:type="spellStart"/>
      <w:r w:rsidR="003E14EC" w:rsidRPr="00B92503">
        <w:rPr>
          <w:rFonts w:cs="Arial"/>
          <w:szCs w:val="24"/>
        </w:rPr>
        <w:t>Lëtzebuerg</w:t>
      </w:r>
      <w:proofErr w:type="spellEnd"/>
      <w:r w:rsidRPr="00B92503">
        <w:rPr>
          <w:rFonts w:cs="Arial"/>
          <w:szCs w:val="24"/>
        </w:rPr>
        <w:t>”</w:t>
      </w:r>
      <w:r w:rsidR="003E14EC" w:rsidRPr="00B92503">
        <w:rPr>
          <w:rStyle w:val="FootnoteReference"/>
          <w:rFonts w:cs="Arial"/>
          <w:sz w:val="24"/>
          <w:szCs w:val="24"/>
          <w:lang w:bidi="en-US"/>
        </w:rPr>
        <w:footnoteReference w:id="87"/>
      </w:r>
      <w:r w:rsidRPr="00B92503">
        <w:rPr>
          <w:rFonts w:cs="Arial"/>
          <w:szCs w:val="24"/>
        </w:rPr>
        <w:t xml:space="preserve"> points out the problem of living and working conditions of people with Down</w:t>
      </w:r>
      <w:r w:rsidR="003E14EC" w:rsidRPr="00B92503">
        <w:rPr>
          <w:rFonts w:cs="Arial"/>
          <w:szCs w:val="24"/>
        </w:rPr>
        <w:t>’s Syndrome</w:t>
      </w:r>
      <w:r w:rsidRPr="00B92503">
        <w:rPr>
          <w:rFonts w:cs="Arial"/>
          <w:szCs w:val="24"/>
        </w:rPr>
        <w:t xml:space="preserve"> in Luxembourg. </w:t>
      </w:r>
      <w:r w:rsidRPr="00B92503">
        <w:rPr>
          <w:rFonts w:cs="Arial"/>
          <w:i/>
          <w:szCs w:val="24"/>
        </w:rPr>
        <w:t xml:space="preserve">There are </w:t>
      </w:r>
      <w:r w:rsidR="000C141B" w:rsidRPr="00B92503">
        <w:rPr>
          <w:rFonts w:cs="Arial"/>
          <w:i/>
          <w:szCs w:val="24"/>
        </w:rPr>
        <w:t>a</w:t>
      </w:r>
      <w:r w:rsidRPr="00B92503">
        <w:rPr>
          <w:rFonts w:cs="Arial"/>
          <w:i/>
          <w:szCs w:val="24"/>
        </w:rPr>
        <w:t xml:space="preserve"> few </w:t>
      </w:r>
      <w:proofErr w:type="gramStart"/>
      <w:r w:rsidRPr="00B92503">
        <w:rPr>
          <w:rFonts w:cs="Arial"/>
          <w:i/>
          <w:szCs w:val="24"/>
        </w:rPr>
        <w:t>housing</w:t>
      </w:r>
      <w:proofErr w:type="gramEnd"/>
      <w:r w:rsidRPr="00B92503">
        <w:rPr>
          <w:rFonts w:cs="Arial"/>
          <w:i/>
          <w:szCs w:val="24"/>
        </w:rPr>
        <w:t xml:space="preserve"> offers</w:t>
      </w:r>
      <w:r w:rsidR="000C141B" w:rsidRPr="00B92503">
        <w:rPr>
          <w:rFonts w:cs="Arial"/>
          <w:i/>
          <w:szCs w:val="24"/>
        </w:rPr>
        <w:t xml:space="preserve"> too</w:t>
      </w:r>
      <w:r w:rsidRPr="00B92503">
        <w:rPr>
          <w:rFonts w:cs="Arial"/>
          <w:i/>
          <w:szCs w:val="24"/>
        </w:rPr>
        <w:t>, especially in the area of autonomous living.</w:t>
      </w:r>
      <w:r w:rsidR="003E14EC" w:rsidRPr="00B92503">
        <w:rPr>
          <w:rFonts w:cs="Arial"/>
          <w:i/>
          <w:szCs w:val="24"/>
        </w:rPr>
        <w:t xml:space="preserve"> The situation on the housing market or in specialised care and housing facilities is not much better</w:t>
      </w:r>
      <w:r w:rsidR="003E14EC" w:rsidRPr="00B92503">
        <w:rPr>
          <w:rFonts w:cs="Arial"/>
          <w:szCs w:val="24"/>
        </w:rPr>
        <w:t xml:space="preserve"> (than the situation on the labour market). </w:t>
      </w:r>
      <w:r w:rsidR="003E14EC" w:rsidRPr="00B92503">
        <w:rPr>
          <w:rFonts w:cs="Arial"/>
          <w:i/>
          <w:szCs w:val="24"/>
        </w:rPr>
        <w:t>There are simply several hundred places missing</w:t>
      </w:r>
      <w:r w:rsidR="003E14EC" w:rsidRPr="00B92503">
        <w:rPr>
          <w:rFonts w:cs="Arial"/>
          <w:szCs w:val="24"/>
        </w:rPr>
        <w:t>.</w:t>
      </w:r>
      <w:r w:rsidR="003E14EC" w:rsidRPr="00B92503">
        <w:rPr>
          <w:rStyle w:val="FootnoteReference"/>
          <w:rFonts w:cs="Arial"/>
          <w:sz w:val="24"/>
          <w:szCs w:val="24"/>
          <w:lang w:bidi="en-US"/>
        </w:rPr>
        <w:footnoteReference w:id="88"/>
      </w:r>
      <w:r w:rsidR="003E14EC" w:rsidRPr="00B92503">
        <w:rPr>
          <w:rFonts w:cs="Arial"/>
          <w:szCs w:val="24"/>
          <w:lang w:bidi="en-US"/>
        </w:rPr>
        <w:t xml:space="preserve"> </w:t>
      </w:r>
    </w:p>
    <w:p w:rsidR="00B7559B" w:rsidRDefault="00B7559B">
      <w:pPr>
        <w:jc w:val="left"/>
        <w:rPr>
          <w:rFonts w:cs="Arial"/>
          <w:b/>
          <w:szCs w:val="24"/>
        </w:rPr>
      </w:pPr>
      <w:r>
        <w:rPr>
          <w:rFonts w:cs="Arial"/>
          <w:b/>
          <w:szCs w:val="24"/>
        </w:rPr>
        <w:br w:type="page"/>
      </w:r>
    </w:p>
    <w:p w:rsidR="008E4ACD" w:rsidRPr="00B92503" w:rsidRDefault="008E4ACD" w:rsidP="00B92503">
      <w:pPr>
        <w:pStyle w:val="Heading2"/>
        <w:rPr>
          <w:rFonts w:cs="Arial"/>
          <w:szCs w:val="24"/>
        </w:rPr>
      </w:pPr>
      <w:bookmarkStart w:id="81" w:name="_TOC_250007"/>
      <w:bookmarkStart w:id="82" w:name="_Toc529874081"/>
      <w:bookmarkStart w:id="83" w:name="_Toc7612977"/>
      <w:r w:rsidRPr="00B92503">
        <w:rPr>
          <w:rFonts w:cs="Arial"/>
          <w:szCs w:val="24"/>
        </w:rPr>
        <w:lastRenderedPageBreak/>
        <w:t xml:space="preserve">UNCRPD civil society shadow and alternative </w:t>
      </w:r>
      <w:bookmarkEnd w:id="81"/>
      <w:r w:rsidRPr="00B92503">
        <w:rPr>
          <w:rFonts w:cs="Arial"/>
          <w:szCs w:val="24"/>
        </w:rPr>
        <w:t>reports</w:t>
      </w:r>
      <w:bookmarkEnd w:id="82"/>
      <w:bookmarkEnd w:id="83"/>
    </w:p>
    <w:p w:rsidR="00A20042" w:rsidRPr="00B92503" w:rsidRDefault="00A20042" w:rsidP="00B92503">
      <w:pPr>
        <w:rPr>
          <w:rFonts w:cs="Arial"/>
          <w:szCs w:val="24"/>
        </w:rPr>
      </w:pPr>
    </w:p>
    <w:p w:rsidR="00FE1B9D" w:rsidRPr="00B92503" w:rsidRDefault="00FE1B9D" w:rsidP="00B92503">
      <w:pPr>
        <w:rPr>
          <w:rFonts w:cs="Arial"/>
          <w:szCs w:val="24"/>
        </w:rPr>
      </w:pPr>
      <w:r w:rsidRPr="00B92503">
        <w:rPr>
          <w:rFonts w:cs="Arial"/>
          <w:szCs w:val="24"/>
        </w:rPr>
        <w:t>The authors of the first shadow report</w:t>
      </w:r>
      <w:r w:rsidR="00C15049" w:rsidRPr="00B92503">
        <w:rPr>
          <w:rFonts w:cs="Arial"/>
          <w:szCs w:val="24"/>
        </w:rPr>
        <w:t xml:space="preserve"> (2016)</w:t>
      </w:r>
      <w:r w:rsidR="00C15049" w:rsidRPr="00B92503">
        <w:rPr>
          <w:rStyle w:val="FootnoteReference"/>
          <w:rFonts w:cs="Arial"/>
          <w:sz w:val="24"/>
          <w:szCs w:val="24"/>
        </w:rPr>
        <w:footnoteReference w:id="89"/>
      </w:r>
      <w:r w:rsidRPr="00B92503">
        <w:rPr>
          <w:rFonts w:cs="Arial"/>
          <w:szCs w:val="24"/>
        </w:rPr>
        <w:t xml:space="preserve"> conclude that </w:t>
      </w:r>
      <w:r w:rsidR="00DD5369" w:rsidRPr="00B92503">
        <w:rPr>
          <w:rFonts w:cs="Arial"/>
          <w:szCs w:val="24"/>
        </w:rPr>
        <w:t>to some extent, there is still a “parallel world” for persons with disabilities: Special schools, special training, “sheltered workshops”, specialised living facilities, mostly State funded or co-funded. In addition, the report notes in response to the first State report (indicating that only one third of persons with disabilities live in institutions), that, persons with intellectual or psychological disabilities are generally not included in this calculation. Social security and care insurance calculations are still based on a medical definition of disability.</w:t>
      </w:r>
      <w:r w:rsidR="007B3653" w:rsidRPr="00B92503">
        <w:rPr>
          <w:rFonts w:cs="Arial"/>
          <w:szCs w:val="24"/>
        </w:rPr>
        <w:t xml:space="preserve"> </w:t>
      </w:r>
      <w:r w:rsidR="00C15049" w:rsidRPr="00B92503">
        <w:rPr>
          <w:rFonts w:cs="Arial"/>
          <w:szCs w:val="24"/>
        </w:rPr>
        <w:t xml:space="preserve">Focusing on </w:t>
      </w:r>
      <w:r w:rsidRPr="00B92503">
        <w:rPr>
          <w:rFonts w:cs="Arial"/>
          <w:szCs w:val="24"/>
        </w:rPr>
        <w:t xml:space="preserve">Article 19 - Living independently and being included in the community </w:t>
      </w:r>
      <w:r w:rsidR="00C15049" w:rsidRPr="00B92503">
        <w:rPr>
          <w:rFonts w:cs="Arial"/>
          <w:szCs w:val="24"/>
        </w:rPr>
        <w:t>the shadow report draws attention to the following points:</w:t>
      </w:r>
    </w:p>
    <w:p w:rsidR="00A20042" w:rsidRPr="00B92503" w:rsidRDefault="00A20042" w:rsidP="00B92503">
      <w:pPr>
        <w:rPr>
          <w:rFonts w:cs="Arial"/>
          <w:szCs w:val="24"/>
        </w:rPr>
      </w:pPr>
    </w:p>
    <w:p w:rsidR="00C714C8" w:rsidRPr="00B92503" w:rsidRDefault="007B3653" w:rsidP="00A479A2">
      <w:pPr>
        <w:pStyle w:val="ListParagraph"/>
      </w:pPr>
      <w:r w:rsidRPr="00B92503">
        <w:t>The c</w:t>
      </w:r>
      <w:r w:rsidR="00FE1B9D" w:rsidRPr="00B92503">
        <w:t>hoice of housing is very limited. The State finances and co-finances living facilities where persons with disabilities sometimes live relatively “cut off” from the community and with little autonomy. There is a lack of procedures, structures and often a lack of political will for transitions to autonomous housing. Open housing and care structures, allowing for more autonomy, are still too rare and often too expensive, especially for persons with disabilities working in a ‘sheltered workshop’ and thus earning minimum wage. An adult person with disabilities working in a ‘sheltered workshop’ reported</w:t>
      </w:r>
      <w:r w:rsidR="008B3EC2" w:rsidRPr="00B92503">
        <w:t xml:space="preserve"> that they </w:t>
      </w:r>
      <w:r w:rsidR="00FE1B9D" w:rsidRPr="00B92503">
        <w:t xml:space="preserve">had to move back into their parents’ house because they couldn’t afford the monthly “rent and care package” with their salary. In fact, many persons with disabilities still live with their parents, because there are no better options for them. (There was no data available, but about a third of adults with disabilities interviewed for this report lived with their parents or parent.) Even though the persons in question were grateful for the parental support, life-autonomy often remained limited. There is a lack of accessible social housing. Rural areas need to be sufficiently covered too. Numerous problems exist concerning private housing: – Health insurance covers adjustments and accommodations of private homes (up to a certain amount). However, owners and landlords cannot be forced to allow adjustments. Adjustment clauses in lease contracts are not mandatory and remain rare. – In private residences with several apartments each owner can veto adjustments of common infrastructures such as entrances, – To this day there are no mandatory accessibility standards for the </w:t>
      </w:r>
      <w:r w:rsidR="00E1309A" w:rsidRPr="00B92503">
        <w:t>construction</w:t>
      </w:r>
      <w:r w:rsidR="00FE1B9D" w:rsidRPr="00B92503">
        <w:t xml:space="preserve"> of new private buildings. A reform and extension of the 2001 Act on </w:t>
      </w:r>
      <w:r w:rsidR="00E1309A" w:rsidRPr="00B92503">
        <w:t>Accessibility</w:t>
      </w:r>
      <w:r w:rsidR="00FE1B9D" w:rsidRPr="00B92503">
        <w:t xml:space="preserve"> of Public Buildings has been eagerly </w:t>
      </w:r>
      <w:proofErr w:type="gramStart"/>
      <w:r w:rsidR="00FE1B9D" w:rsidRPr="00B92503">
        <w:t>awaited</w:t>
      </w:r>
      <w:proofErr w:type="gramEnd"/>
      <w:r w:rsidR="00FE1B9D" w:rsidRPr="00B92503">
        <w:t xml:space="preserve"> for years (see article 9 - 3.7). Even with materially accessible housing problems can arise: In one case, two persons with disabilities wanted to live autonomously, as a couple, in a rental apartment. The </w:t>
      </w:r>
      <w:r w:rsidR="00E1309A" w:rsidRPr="00B92503">
        <w:t>employer</w:t>
      </w:r>
      <w:r w:rsidR="00FE1B9D" w:rsidRPr="00B92503">
        <w:t xml:space="preserve"> of both persons, a State co-funded institution running “sheltered workshops”, contacted the owner of the apartment, to advise them against signing the lease contract. </w:t>
      </w:r>
    </w:p>
    <w:p w:rsidR="00A20042" w:rsidRPr="00B92503" w:rsidRDefault="00A20042" w:rsidP="00B92503">
      <w:pPr>
        <w:rPr>
          <w:rFonts w:cs="Arial"/>
          <w:i/>
          <w:szCs w:val="24"/>
        </w:rPr>
      </w:pPr>
    </w:p>
    <w:p w:rsidR="00FE1B9D" w:rsidRPr="00B92503" w:rsidRDefault="00C714C8" w:rsidP="00A479A2">
      <w:pPr>
        <w:pStyle w:val="ListParagraph"/>
      </w:pPr>
      <w:r w:rsidRPr="00B92503">
        <w:t xml:space="preserve">Focusing on </w:t>
      </w:r>
      <w:r w:rsidR="007B3653" w:rsidRPr="00B92503">
        <w:t>l</w:t>
      </w:r>
      <w:r w:rsidR="00FE1B9D" w:rsidRPr="00B92503">
        <w:t>iving independently</w:t>
      </w:r>
      <w:r w:rsidRPr="00B92503">
        <w:t xml:space="preserve"> and </w:t>
      </w:r>
      <w:r w:rsidR="007B3653" w:rsidRPr="00B92503">
        <w:t>g</w:t>
      </w:r>
      <w:r w:rsidRPr="00B92503">
        <w:t xml:space="preserve">uardianship the </w:t>
      </w:r>
      <w:r w:rsidR="007B3653" w:rsidRPr="00B92503">
        <w:t>shadow r</w:t>
      </w:r>
      <w:r w:rsidRPr="00B92503">
        <w:t>eport emphasises:</w:t>
      </w:r>
      <w:r w:rsidR="007B3653" w:rsidRPr="00B92503">
        <w:t xml:space="preserve"> </w:t>
      </w:r>
      <w:r w:rsidR="00FE1B9D" w:rsidRPr="00B92503">
        <w:t>For persons with disabilities under guardianship (especially full guardianship), all major decisions are taken by or with a guardian. The long-</w:t>
      </w:r>
      <w:r w:rsidR="00FE1B9D" w:rsidRPr="00B92503">
        <w:lastRenderedPageBreak/>
        <w:t>awaited reform of guardianship legislation urgently needs to eliminate substitute decision-making and promote assisted decision-making.</w:t>
      </w:r>
    </w:p>
    <w:p w:rsidR="00A20042" w:rsidRPr="00B92503" w:rsidRDefault="00A20042" w:rsidP="00B92503">
      <w:pPr>
        <w:rPr>
          <w:rFonts w:cs="Arial"/>
          <w:szCs w:val="24"/>
        </w:rPr>
      </w:pPr>
    </w:p>
    <w:p w:rsidR="00CA4870" w:rsidRDefault="00C714C8" w:rsidP="00A479A2">
      <w:pPr>
        <w:pStyle w:val="ListParagraph"/>
      </w:pPr>
      <w:r w:rsidRPr="00B92503">
        <w:t xml:space="preserve">With a view to </w:t>
      </w:r>
      <w:r w:rsidR="008B3EC2" w:rsidRPr="00B92503">
        <w:t>r</w:t>
      </w:r>
      <w:r w:rsidR="00FE1B9D" w:rsidRPr="00B92503">
        <w:t xml:space="preserve">esidential facilities </w:t>
      </w:r>
      <w:r w:rsidRPr="00B92503">
        <w:t xml:space="preserve">the report </w:t>
      </w:r>
      <w:r w:rsidR="00CA4870" w:rsidRPr="00B92503">
        <w:t>indicates:</w:t>
      </w:r>
      <w:r w:rsidR="007B3653" w:rsidRPr="00B92503">
        <w:t xml:space="preserve"> </w:t>
      </w:r>
      <w:r w:rsidR="00CA4870" w:rsidRPr="00B92503">
        <w:t xml:space="preserve">(Only) </w:t>
      </w:r>
      <w:r w:rsidR="00FE1B9D" w:rsidRPr="00B92503">
        <w:t>few efforts have been made to de</w:t>
      </w:r>
      <w:r w:rsidR="008B3EC2" w:rsidRPr="00B92503">
        <w:t>-</w:t>
      </w:r>
      <w:r w:rsidR="00FE1B9D" w:rsidRPr="00B92503">
        <w:t xml:space="preserve">institutionalize the areas of housing and living of persons with disabilities. In the absence of a generalized personal assistance system and </w:t>
      </w:r>
      <w:r w:rsidR="008B3EC2" w:rsidRPr="00B92503">
        <w:t xml:space="preserve">the absence of </w:t>
      </w:r>
      <w:r w:rsidR="00FE1B9D" w:rsidRPr="00B92503">
        <w:t xml:space="preserve">an appropriate </w:t>
      </w:r>
      <w:r w:rsidR="008B3EC2" w:rsidRPr="00B92503">
        <w:t xml:space="preserve">system of </w:t>
      </w:r>
      <w:r w:rsidR="00FE1B9D" w:rsidRPr="00B92503">
        <w:t xml:space="preserve">care at for persons with severe physical disabilities, it is not surprising that more than a third of persons with disabilities live in specialized facilities or nursing homes. Given the lack of appropriate programs and support services for living independently in the community, many interviewees viewed living in a specialized facility as their only option. These persons report having little autonomy as to how to live their life, or even, organize their day: Sleeping schedules, “feeding” schedules, choice of food, leisure activities, much is </w:t>
      </w:r>
      <w:proofErr w:type="gramStart"/>
      <w:r w:rsidR="00FE1B9D" w:rsidRPr="00B92503">
        <w:t>planned ahead</w:t>
      </w:r>
      <w:proofErr w:type="gramEnd"/>
      <w:r w:rsidR="00FE1B9D" w:rsidRPr="00B92503">
        <w:t xml:space="preserve"> with very little room for flexibility and personal preferences. Persons with disabilities, their relatives and persons working within such institutions suggested that this might also be linked to a lack of staff in many facilities. </w:t>
      </w:r>
    </w:p>
    <w:p w:rsidR="00A479A2" w:rsidRPr="00B92503" w:rsidRDefault="00A479A2" w:rsidP="00A479A2"/>
    <w:p w:rsidR="00FE1B9D" w:rsidRPr="00B92503" w:rsidRDefault="00CA4870" w:rsidP="00B92503">
      <w:pPr>
        <w:rPr>
          <w:rFonts w:cs="Arial"/>
          <w:i/>
          <w:szCs w:val="24"/>
        </w:rPr>
      </w:pPr>
      <w:r w:rsidRPr="00B92503">
        <w:rPr>
          <w:rFonts w:cs="Arial"/>
          <w:szCs w:val="24"/>
        </w:rPr>
        <w:t>To illustrate the situation, the report describes an authentic case from Luxembourg</w:t>
      </w:r>
      <w:r w:rsidR="007B3653" w:rsidRPr="00B92503">
        <w:rPr>
          <w:rFonts w:cs="Arial"/>
          <w:szCs w:val="24"/>
        </w:rPr>
        <w:t xml:space="preserve"> (see Appendix, shadow report).</w:t>
      </w:r>
      <w:r w:rsidRPr="00B92503">
        <w:rPr>
          <w:rFonts w:cs="Arial"/>
          <w:szCs w:val="24"/>
        </w:rPr>
        <w:t xml:space="preserve"> </w:t>
      </w:r>
    </w:p>
    <w:p w:rsidR="00A479A2" w:rsidRDefault="00A479A2" w:rsidP="00B92503">
      <w:pPr>
        <w:rPr>
          <w:rFonts w:cs="Arial"/>
          <w:szCs w:val="24"/>
        </w:rPr>
      </w:pPr>
    </w:p>
    <w:p w:rsidR="00FE1B9D" w:rsidRPr="00A479A2" w:rsidRDefault="00CA4870" w:rsidP="00B92503">
      <w:pPr>
        <w:rPr>
          <w:rFonts w:cs="Arial"/>
          <w:szCs w:val="24"/>
        </w:rPr>
      </w:pPr>
      <w:r w:rsidRPr="00A479A2">
        <w:rPr>
          <w:rFonts w:cs="Arial"/>
          <w:szCs w:val="24"/>
        </w:rPr>
        <w:t xml:space="preserve">On </w:t>
      </w:r>
      <w:r w:rsidR="008B3EC2" w:rsidRPr="00A479A2">
        <w:rPr>
          <w:rFonts w:cs="Arial"/>
          <w:szCs w:val="24"/>
        </w:rPr>
        <w:t>p</w:t>
      </w:r>
      <w:r w:rsidR="00FE1B9D" w:rsidRPr="00A479A2">
        <w:rPr>
          <w:rFonts w:cs="Arial"/>
          <w:szCs w:val="24"/>
        </w:rPr>
        <w:t>ersonalized care and personal assi</w:t>
      </w:r>
      <w:r w:rsidR="008B3EC2" w:rsidRPr="00A479A2">
        <w:rPr>
          <w:rFonts w:cs="Arial"/>
          <w:szCs w:val="24"/>
        </w:rPr>
        <w:t>s</w:t>
      </w:r>
      <w:r w:rsidR="00FE1B9D" w:rsidRPr="00A479A2">
        <w:rPr>
          <w:rFonts w:cs="Arial"/>
          <w:szCs w:val="24"/>
        </w:rPr>
        <w:t>tance</w:t>
      </w:r>
      <w:r w:rsidR="008B3EC2" w:rsidRPr="00A479A2">
        <w:rPr>
          <w:rFonts w:cs="Arial"/>
          <w:szCs w:val="24"/>
        </w:rPr>
        <w:t>,</w:t>
      </w:r>
      <w:r w:rsidR="00FE1B9D" w:rsidRPr="00A479A2">
        <w:rPr>
          <w:rFonts w:cs="Arial"/>
          <w:szCs w:val="24"/>
        </w:rPr>
        <w:t xml:space="preserve"> </w:t>
      </w:r>
      <w:r w:rsidRPr="00A479A2">
        <w:rPr>
          <w:rFonts w:cs="Arial"/>
          <w:szCs w:val="24"/>
        </w:rPr>
        <w:t>the report deplores</w:t>
      </w:r>
      <w:r w:rsidR="007B3653" w:rsidRPr="00A479A2">
        <w:rPr>
          <w:rFonts w:cs="Arial"/>
          <w:szCs w:val="24"/>
        </w:rPr>
        <w:t xml:space="preserve"> that u</w:t>
      </w:r>
      <w:r w:rsidR="00FE1B9D" w:rsidRPr="00A479A2">
        <w:rPr>
          <w:rFonts w:cs="Arial"/>
          <w:szCs w:val="24"/>
        </w:rPr>
        <w:t>nfortunately</w:t>
      </w:r>
      <w:r w:rsidR="008B3EC2" w:rsidRPr="00A479A2">
        <w:rPr>
          <w:rFonts w:cs="Arial"/>
          <w:szCs w:val="24"/>
        </w:rPr>
        <w:t>,</w:t>
      </w:r>
      <w:r w:rsidR="00FE1B9D" w:rsidRPr="00A479A2">
        <w:rPr>
          <w:rFonts w:cs="Arial"/>
          <w:szCs w:val="24"/>
        </w:rPr>
        <w:t xml:space="preserve"> too many persons with disabilities (who are not </w:t>
      </w:r>
      <w:r w:rsidR="008B3EC2" w:rsidRPr="00A479A2">
        <w:rPr>
          <w:rFonts w:cs="Arial"/>
          <w:szCs w:val="24"/>
        </w:rPr>
        <w:t xml:space="preserve">subjected </w:t>
      </w:r>
      <w:r w:rsidR="00FE1B9D" w:rsidRPr="00A479A2">
        <w:rPr>
          <w:rFonts w:cs="Arial"/>
          <w:szCs w:val="24"/>
        </w:rPr>
        <w:t xml:space="preserve">under guardianship and / or do not live in nursing homes or other institutions) enjoy very little life-autonomy, especially persons with high support needs. At present, care and assistance acts need to be selected from a catalogue (from recognized care and assistance service providers) based on an assessment made by long-term care insurance (Assurance </w:t>
      </w:r>
      <w:proofErr w:type="spellStart"/>
      <w:r w:rsidR="00FE1B9D" w:rsidRPr="00A479A2">
        <w:rPr>
          <w:rFonts w:cs="Arial"/>
          <w:szCs w:val="24"/>
        </w:rPr>
        <w:t>Dépendance</w:t>
      </w:r>
      <w:proofErr w:type="spellEnd"/>
      <w:r w:rsidR="00FE1B9D" w:rsidRPr="00A479A2">
        <w:rPr>
          <w:rFonts w:cs="Arial"/>
          <w:szCs w:val="24"/>
        </w:rPr>
        <w:t>). The allocated “budget” is established in minutes and hours due in services (maximum 56</w:t>
      </w:r>
      <w:r w:rsidR="00A479A2">
        <w:rPr>
          <w:rFonts w:cs="Arial"/>
          <w:szCs w:val="24"/>
        </w:rPr>
        <w:t>,</w:t>
      </w:r>
      <w:r w:rsidR="00FE1B9D" w:rsidRPr="00A479A2">
        <w:rPr>
          <w:rFonts w:cs="Arial"/>
          <w:szCs w:val="24"/>
        </w:rPr>
        <w:t xml:space="preserve">5 hours per week). The legal maximum is insufficient in many cases. Persons with severe disabilities may need 24-hour support, assistance and care (168 hours per week). In some cases, it is not as much a question of living independently as of survival. In 2016, a project for a reform of the </w:t>
      </w:r>
      <w:r w:rsidR="008B3EC2" w:rsidRPr="00A479A2">
        <w:rPr>
          <w:rFonts w:cs="Arial"/>
          <w:szCs w:val="24"/>
        </w:rPr>
        <w:t>l</w:t>
      </w:r>
      <w:r w:rsidR="00FE1B9D" w:rsidRPr="00A479A2">
        <w:rPr>
          <w:rFonts w:cs="Arial"/>
          <w:szCs w:val="24"/>
        </w:rPr>
        <w:t xml:space="preserve">ong-term </w:t>
      </w:r>
      <w:r w:rsidR="008B3EC2" w:rsidRPr="00A479A2">
        <w:rPr>
          <w:rFonts w:cs="Arial"/>
          <w:szCs w:val="24"/>
        </w:rPr>
        <w:t>c</w:t>
      </w:r>
      <w:r w:rsidR="00FE1B9D" w:rsidRPr="00A479A2">
        <w:rPr>
          <w:rFonts w:cs="Arial"/>
          <w:szCs w:val="24"/>
        </w:rPr>
        <w:t xml:space="preserve">are </w:t>
      </w:r>
      <w:r w:rsidR="008B3EC2" w:rsidRPr="00A479A2">
        <w:rPr>
          <w:rFonts w:cs="Arial"/>
          <w:szCs w:val="24"/>
        </w:rPr>
        <w:t>i</w:t>
      </w:r>
      <w:r w:rsidR="00FE1B9D" w:rsidRPr="00A479A2">
        <w:rPr>
          <w:rFonts w:cs="Arial"/>
          <w:szCs w:val="24"/>
        </w:rPr>
        <w:t xml:space="preserve">nsurance system was presented. Many persons who will be affected by changes in the system fear a deterioration of the present situation. Legislation does not mention disability, nor the CRPD, and the reform does at present not plan to correct this. The reform will also replace the personalized assessments with 15 categories, which could lead to further depersonalization of services. The maximum amount of 56,5 hours per week is to remain the same. </w:t>
      </w:r>
    </w:p>
    <w:p w:rsidR="00A479A2" w:rsidRPr="00B92503" w:rsidRDefault="00A479A2" w:rsidP="00B92503">
      <w:pPr>
        <w:rPr>
          <w:rFonts w:cs="Arial"/>
          <w:szCs w:val="24"/>
        </w:rPr>
      </w:pPr>
    </w:p>
    <w:p w:rsidR="00FE1B9D" w:rsidRPr="00B92503" w:rsidRDefault="00CA4870" w:rsidP="00A479A2">
      <w:r w:rsidRPr="00B92503">
        <w:t>On personalized budget and personal assistance, the report mentions</w:t>
      </w:r>
      <w:r w:rsidR="007B3653" w:rsidRPr="00B92503">
        <w:t>, that p</w:t>
      </w:r>
      <w:r w:rsidR="00FE1B9D" w:rsidRPr="00B92503">
        <w:t xml:space="preserve">ersons with disabilities wanting to live independently and included in the community, often need assistance that goes beyond care. For years DPOs and individuals have suggested, or even insisted how beneficial an extension of “personal assistance” would be for the autonomy and quality of life of persons with disabilities. A personalized budget, that allows persons with disabilities which qualify for such assistance to choose and train their helper(s) or assistant(s) for various tasks of everyday life, could greatly promote living independently and inclusion in the community. A typical example shows the need for a personal assistance: If a person in a wheelchair wants to go out at night, careful planning and time are of the essence: </w:t>
      </w:r>
    </w:p>
    <w:p w:rsidR="00C15049" w:rsidRDefault="00CA4870" w:rsidP="00A479A2">
      <w:r w:rsidRPr="00B92503">
        <w:lastRenderedPageBreak/>
        <w:t>The last point raised in the report concerns transport services in Luxembourg</w:t>
      </w:r>
      <w:r w:rsidR="007B3653" w:rsidRPr="00B92503">
        <w:t xml:space="preserve">. </w:t>
      </w:r>
      <w:r w:rsidR="00FE1B9D" w:rsidRPr="00B92503">
        <w:t>The special transport service (ADAPTO) only operates until 10pm (until midnight on Fridays and Saturdays). State-approved nursing and care networks only operate until 10</w:t>
      </w:r>
      <w:r w:rsidR="00A479A2">
        <w:t xml:space="preserve"> </w:t>
      </w:r>
      <w:r w:rsidR="00FE1B9D" w:rsidRPr="00B92503">
        <w:t xml:space="preserve">pm. If the person needs assistance to get into bed, everything needs to be thoroughly planned and work according to planned. As result of this lack of flexibility, nights are sometimes spent in the wheelchair, waiting for the employees of the care network to start their morning rounds. </w:t>
      </w:r>
    </w:p>
    <w:p w:rsidR="00A479A2" w:rsidRPr="00B92503" w:rsidRDefault="00A479A2" w:rsidP="00B92503">
      <w:pPr>
        <w:rPr>
          <w:rFonts w:cs="Arial"/>
          <w:szCs w:val="24"/>
        </w:rPr>
      </w:pPr>
    </w:p>
    <w:p w:rsidR="008E4ACD" w:rsidRPr="00B92503" w:rsidRDefault="00C15049" w:rsidP="00B92503">
      <w:pPr>
        <w:rPr>
          <w:rFonts w:cs="Arial"/>
          <w:i/>
          <w:szCs w:val="24"/>
        </w:rPr>
      </w:pPr>
      <w:r w:rsidRPr="00B92503">
        <w:rPr>
          <w:rFonts w:cs="Arial"/>
          <w:szCs w:val="24"/>
        </w:rPr>
        <w:t>Finally, the authors of the shadow report recommend</w:t>
      </w:r>
      <w:r w:rsidR="008B3EC2" w:rsidRPr="00B92503">
        <w:rPr>
          <w:rFonts w:cs="Arial"/>
          <w:szCs w:val="24"/>
        </w:rPr>
        <w:t xml:space="preserve"> </w:t>
      </w:r>
      <w:proofErr w:type="gramStart"/>
      <w:r w:rsidR="008B3EC2" w:rsidRPr="00B92503">
        <w:rPr>
          <w:rFonts w:cs="Arial"/>
          <w:szCs w:val="24"/>
        </w:rPr>
        <w:t>t</w:t>
      </w:r>
      <w:r w:rsidRPr="00B92503">
        <w:rPr>
          <w:rFonts w:cs="Arial"/>
          <w:szCs w:val="24"/>
        </w:rPr>
        <w:t>o d</w:t>
      </w:r>
      <w:r w:rsidR="00FE1B9D" w:rsidRPr="00B92503">
        <w:rPr>
          <w:rFonts w:cs="Arial"/>
          <w:szCs w:val="24"/>
        </w:rPr>
        <w:t>evelop</w:t>
      </w:r>
      <w:proofErr w:type="gramEnd"/>
      <w:r w:rsidR="00FE1B9D" w:rsidRPr="00B92503">
        <w:rPr>
          <w:rFonts w:cs="Arial"/>
          <w:szCs w:val="24"/>
        </w:rPr>
        <w:t xml:space="preserve"> and implement an effective de-institutionalization and community</w:t>
      </w:r>
      <w:r w:rsidR="00B37E98" w:rsidRPr="00B92503">
        <w:rPr>
          <w:rFonts w:cs="Arial"/>
          <w:szCs w:val="24"/>
        </w:rPr>
        <w:t>-living-</w:t>
      </w:r>
      <w:r w:rsidR="00FE1B9D" w:rsidRPr="00B92503">
        <w:rPr>
          <w:rFonts w:cs="Arial"/>
          <w:szCs w:val="24"/>
        </w:rPr>
        <w:t>based strategy with clear time frames and benchmarks, in consultation with organi</w:t>
      </w:r>
      <w:r w:rsidR="007E08F2">
        <w:rPr>
          <w:rFonts w:cs="Arial"/>
          <w:szCs w:val="24"/>
        </w:rPr>
        <w:t>s</w:t>
      </w:r>
      <w:r w:rsidR="00FE1B9D" w:rsidRPr="00B92503">
        <w:rPr>
          <w:rFonts w:cs="Arial"/>
          <w:szCs w:val="24"/>
        </w:rPr>
        <w:t>ations of persons with disabilities</w:t>
      </w:r>
      <w:r w:rsidRPr="00B92503">
        <w:rPr>
          <w:rFonts w:cs="Arial"/>
          <w:szCs w:val="24"/>
        </w:rPr>
        <w:t>,</w:t>
      </w:r>
      <w:r w:rsidR="00FE1B9D" w:rsidRPr="00B92503">
        <w:rPr>
          <w:rFonts w:cs="Arial"/>
          <w:szCs w:val="24"/>
        </w:rPr>
        <w:t xml:space="preserve"> </w:t>
      </w:r>
      <w:r w:rsidRPr="00B92503">
        <w:rPr>
          <w:rFonts w:cs="Arial"/>
          <w:szCs w:val="24"/>
        </w:rPr>
        <w:t xml:space="preserve">and to establish </w:t>
      </w:r>
      <w:r w:rsidR="00FE1B9D" w:rsidRPr="00B92503">
        <w:rPr>
          <w:rFonts w:cs="Arial"/>
          <w:szCs w:val="24"/>
        </w:rPr>
        <w:t>a framework providing for legal entitlement to personal assistance services to enable persons with disabilities to live independently in the community.</w:t>
      </w:r>
    </w:p>
    <w:p w:rsidR="00B37E98" w:rsidRPr="00B92503" w:rsidRDefault="00B37E98" w:rsidP="00B92503">
      <w:pPr>
        <w:rPr>
          <w:rFonts w:cs="Arial"/>
          <w:b/>
          <w:szCs w:val="24"/>
        </w:rPr>
      </w:pPr>
    </w:p>
    <w:p w:rsidR="008E4ACD" w:rsidRPr="00B92503" w:rsidRDefault="008E4ACD" w:rsidP="00B92503">
      <w:pPr>
        <w:pStyle w:val="Heading2"/>
        <w:rPr>
          <w:rFonts w:cs="Arial"/>
          <w:szCs w:val="24"/>
        </w:rPr>
      </w:pPr>
      <w:bookmarkStart w:id="84" w:name="_TOC_250006"/>
      <w:bookmarkStart w:id="85" w:name="_Toc529874082"/>
      <w:bookmarkStart w:id="86" w:name="_Toc7612978"/>
      <w:r w:rsidRPr="00B92503">
        <w:rPr>
          <w:rFonts w:cs="Arial"/>
          <w:szCs w:val="24"/>
        </w:rPr>
        <w:t xml:space="preserve">‘Grey literature’ at the national </w:t>
      </w:r>
      <w:bookmarkEnd w:id="84"/>
      <w:r w:rsidRPr="00B92503">
        <w:rPr>
          <w:rFonts w:cs="Arial"/>
          <w:szCs w:val="24"/>
        </w:rPr>
        <w:t>level</w:t>
      </w:r>
      <w:bookmarkEnd w:id="85"/>
      <w:bookmarkEnd w:id="86"/>
    </w:p>
    <w:p w:rsidR="00A479A2" w:rsidRDefault="00A479A2" w:rsidP="00B92503">
      <w:pPr>
        <w:rPr>
          <w:rFonts w:cs="Arial"/>
          <w:szCs w:val="24"/>
        </w:rPr>
      </w:pPr>
    </w:p>
    <w:p w:rsidR="008E4ACD" w:rsidRPr="00B92503" w:rsidRDefault="00B06B80" w:rsidP="00B92503">
      <w:pPr>
        <w:rPr>
          <w:rFonts w:cs="Arial"/>
          <w:szCs w:val="24"/>
        </w:rPr>
      </w:pPr>
      <w:r w:rsidRPr="00B92503">
        <w:rPr>
          <w:rFonts w:cs="Arial"/>
          <w:szCs w:val="24"/>
        </w:rPr>
        <w:t>Already</w:t>
      </w:r>
      <w:r w:rsidR="00B37E98" w:rsidRPr="00B92503">
        <w:rPr>
          <w:rFonts w:cs="Arial"/>
          <w:szCs w:val="24"/>
        </w:rPr>
        <w:t>,</w:t>
      </w:r>
      <w:r w:rsidRPr="00B92503">
        <w:rPr>
          <w:rFonts w:cs="Arial"/>
          <w:szCs w:val="24"/>
        </w:rPr>
        <w:t xml:space="preserve"> t</w:t>
      </w:r>
      <w:r w:rsidR="006679EF" w:rsidRPr="00B92503">
        <w:rPr>
          <w:rFonts w:cs="Arial"/>
          <w:szCs w:val="24"/>
        </w:rPr>
        <w:t>he national C</w:t>
      </w:r>
      <w:r w:rsidR="00B37E98" w:rsidRPr="00B92503">
        <w:rPr>
          <w:rFonts w:cs="Arial"/>
          <w:szCs w:val="24"/>
        </w:rPr>
        <w:t>aritas</w:t>
      </w:r>
      <w:r w:rsidR="006679EF" w:rsidRPr="00B92503">
        <w:rPr>
          <w:rFonts w:cs="Arial"/>
          <w:szCs w:val="24"/>
        </w:rPr>
        <w:t xml:space="preserve"> Report (2015)</w:t>
      </w:r>
      <w:r w:rsidR="006679EF" w:rsidRPr="00B92503">
        <w:rPr>
          <w:rStyle w:val="FootnoteReference"/>
          <w:rFonts w:cs="Arial"/>
          <w:sz w:val="24"/>
          <w:szCs w:val="24"/>
        </w:rPr>
        <w:footnoteReference w:id="90"/>
      </w:r>
      <w:r w:rsidR="006679EF" w:rsidRPr="00B92503">
        <w:rPr>
          <w:rFonts w:cs="Arial"/>
          <w:szCs w:val="24"/>
        </w:rPr>
        <w:t xml:space="preserve"> </w:t>
      </w:r>
      <w:r w:rsidRPr="00B92503">
        <w:rPr>
          <w:rFonts w:cs="Arial"/>
          <w:szCs w:val="24"/>
        </w:rPr>
        <w:t>pointed out that a</w:t>
      </w:r>
      <w:r w:rsidR="006679EF" w:rsidRPr="00B92503">
        <w:rPr>
          <w:rFonts w:cs="Arial"/>
          <w:szCs w:val="24"/>
        </w:rPr>
        <w:t xml:space="preserve">ccess to affordable housing </w:t>
      </w:r>
      <w:r w:rsidR="00B37E98" w:rsidRPr="00B92503">
        <w:rPr>
          <w:rFonts w:cs="Arial"/>
          <w:szCs w:val="24"/>
        </w:rPr>
        <w:t xml:space="preserve">is </w:t>
      </w:r>
      <w:r w:rsidR="006679EF" w:rsidRPr="00B92503">
        <w:rPr>
          <w:rFonts w:cs="Arial"/>
          <w:szCs w:val="24"/>
        </w:rPr>
        <w:t>problematic</w:t>
      </w:r>
      <w:r w:rsidRPr="00B92503">
        <w:rPr>
          <w:rFonts w:cs="Arial"/>
          <w:szCs w:val="24"/>
        </w:rPr>
        <w:t xml:space="preserve"> in Luxembourg, particularly for </w:t>
      </w:r>
      <w:r w:rsidR="006679EF" w:rsidRPr="00B92503">
        <w:rPr>
          <w:rFonts w:cs="Arial"/>
          <w:szCs w:val="24"/>
        </w:rPr>
        <w:t>people with a low income</w:t>
      </w:r>
      <w:r w:rsidRPr="00B92503">
        <w:rPr>
          <w:rFonts w:cs="Arial"/>
          <w:szCs w:val="24"/>
        </w:rPr>
        <w:t xml:space="preserve">. They had to </w:t>
      </w:r>
      <w:r w:rsidR="006679EF" w:rsidRPr="00B92503">
        <w:rPr>
          <w:rFonts w:cs="Arial"/>
          <w:szCs w:val="24"/>
        </w:rPr>
        <w:t>pay around 45</w:t>
      </w:r>
      <w:r w:rsidR="00A479A2">
        <w:rPr>
          <w:rFonts w:cs="Arial"/>
          <w:szCs w:val="24"/>
        </w:rPr>
        <w:t xml:space="preserve"> </w:t>
      </w:r>
      <w:r w:rsidR="006679EF" w:rsidRPr="00B92503">
        <w:rPr>
          <w:rFonts w:cs="Arial"/>
          <w:szCs w:val="24"/>
        </w:rPr>
        <w:t>% of their revenue on housing, compared to 30</w:t>
      </w:r>
      <w:r w:rsidR="00A479A2">
        <w:rPr>
          <w:rFonts w:cs="Arial"/>
          <w:szCs w:val="24"/>
        </w:rPr>
        <w:t xml:space="preserve"> </w:t>
      </w:r>
      <w:r w:rsidR="006679EF" w:rsidRPr="00B92503">
        <w:rPr>
          <w:rFonts w:cs="Arial"/>
          <w:szCs w:val="24"/>
        </w:rPr>
        <w:t>% for people with a higher income, considering that housing costs have increased between 2005 and 2014 from 23.5</w:t>
      </w:r>
      <w:r w:rsidR="00A479A2">
        <w:rPr>
          <w:rFonts w:cs="Arial"/>
          <w:szCs w:val="24"/>
        </w:rPr>
        <w:t xml:space="preserve"> </w:t>
      </w:r>
      <w:r w:rsidR="006679EF" w:rsidRPr="00B92503">
        <w:rPr>
          <w:rFonts w:cs="Arial"/>
          <w:szCs w:val="24"/>
        </w:rPr>
        <w:t>% to 48.5</w:t>
      </w:r>
      <w:r w:rsidR="00A479A2">
        <w:rPr>
          <w:rFonts w:cs="Arial"/>
          <w:szCs w:val="24"/>
        </w:rPr>
        <w:t xml:space="preserve"> </w:t>
      </w:r>
      <w:r w:rsidR="006679EF" w:rsidRPr="00B92503">
        <w:rPr>
          <w:rFonts w:cs="Arial"/>
          <w:szCs w:val="24"/>
        </w:rPr>
        <w:t>% according to different housing types. Amongst the beneficiaries of Caritas Luxembourg in 2014, 1,324 were receiving specific help regarding their housing problems, and 135 of them were children and youngsters in emergency or in long-term residential care settings.</w:t>
      </w:r>
      <w:r w:rsidRPr="00B92503">
        <w:rPr>
          <w:rFonts w:cs="Arial"/>
          <w:szCs w:val="24"/>
        </w:rPr>
        <w:t xml:space="preserve"> </w:t>
      </w:r>
      <w:r w:rsidR="00FF3996" w:rsidRPr="00B92503">
        <w:rPr>
          <w:rFonts w:cs="Arial"/>
          <w:szCs w:val="24"/>
        </w:rPr>
        <w:t>In the current report of 2017, the Caritas report</w:t>
      </w:r>
      <w:r w:rsidR="00FF3996" w:rsidRPr="00B92503">
        <w:rPr>
          <w:rStyle w:val="FootnoteReference"/>
          <w:rFonts w:cs="Arial"/>
          <w:sz w:val="24"/>
          <w:szCs w:val="24"/>
        </w:rPr>
        <w:footnoteReference w:id="91"/>
      </w:r>
      <w:r w:rsidR="00FF3996" w:rsidRPr="00B92503">
        <w:rPr>
          <w:rFonts w:cs="Arial"/>
          <w:szCs w:val="24"/>
        </w:rPr>
        <w:t xml:space="preserve"> points to the persisting problem of the housing situation: Limited access to housing is putting a lot of young people at higher risk of poverty and social exclusion.</w:t>
      </w:r>
      <w:r w:rsidR="00B37E98" w:rsidRPr="00B92503">
        <w:rPr>
          <w:rFonts w:cs="Arial"/>
          <w:szCs w:val="24"/>
        </w:rPr>
        <w:t xml:space="preserve"> Special statements on persons with disabilities are not provided.</w:t>
      </w:r>
      <w:r w:rsidR="00FF3996" w:rsidRPr="00B92503">
        <w:rPr>
          <w:rFonts w:cs="Arial"/>
          <w:szCs w:val="24"/>
        </w:rPr>
        <w:t xml:space="preserve"> Even if no figures are provided, it can be assumed that people with disabilities </w:t>
      </w:r>
      <w:proofErr w:type="gramStart"/>
      <w:r w:rsidR="00FF3996" w:rsidRPr="00B92503">
        <w:rPr>
          <w:rFonts w:cs="Arial"/>
          <w:szCs w:val="24"/>
        </w:rPr>
        <w:t>in particular are</w:t>
      </w:r>
      <w:proofErr w:type="gramEnd"/>
      <w:r w:rsidR="00FF3996" w:rsidRPr="00B92503">
        <w:rPr>
          <w:rFonts w:cs="Arial"/>
          <w:szCs w:val="24"/>
        </w:rPr>
        <w:t xml:space="preserve"> also affected by the general lack of affordable housing in Luxembourg.</w:t>
      </w:r>
    </w:p>
    <w:p w:rsidR="00FF3996" w:rsidRPr="00B92503" w:rsidRDefault="00FF3996" w:rsidP="00B92503">
      <w:pPr>
        <w:ind w:left="567" w:hanging="567"/>
        <w:rPr>
          <w:rFonts w:cs="Arial"/>
          <w:szCs w:val="24"/>
        </w:rPr>
      </w:pPr>
    </w:p>
    <w:p w:rsidR="008E4ACD" w:rsidRPr="00B92503" w:rsidRDefault="008E4ACD" w:rsidP="00B92503">
      <w:pPr>
        <w:pStyle w:val="Heading2"/>
        <w:rPr>
          <w:rFonts w:cs="Arial"/>
          <w:szCs w:val="24"/>
        </w:rPr>
      </w:pPr>
      <w:bookmarkStart w:id="87" w:name="_TOC_250005"/>
      <w:bookmarkStart w:id="88" w:name="_Toc529874083"/>
      <w:bookmarkStart w:id="89" w:name="_Toc7612979"/>
      <w:r w:rsidRPr="00B92503">
        <w:rPr>
          <w:rFonts w:cs="Arial"/>
          <w:szCs w:val="24"/>
        </w:rPr>
        <w:t xml:space="preserve">Pan-European and international civil society </w:t>
      </w:r>
      <w:bookmarkEnd w:id="87"/>
      <w:r w:rsidRPr="00B92503">
        <w:rPr>
          <w:rFonts w:cs="Arial"/>
          <w:szCs w:val="24"/>
        </w:rPr>
        <w:t>organisations</w:t>
      </w:r>
      <w:bookmarkEnd w:id="88"/>
      <w:bookmarkEnd w:id="89"/>
    </w:p>
    <w:p w:rsidR="00A479A2" w:rsidRDefault="00A479A2" w:rsidP="00B92503">
      <w:pPr>
        <w:rPr>
          <w:rFonts w:cs="Arial"/>
          <w:szCs w:val="24"/>
        </w:rPr>
      </w:pPr>
    </w:p>
    <w:p w:rsidR="00C54B6F" w:rsidRPr="00B92503" w:rsidRDefault="00C54B6F" w:rsidP="00A479A2">
      <w:r w:rsidRPr="00B92503">
        <w:t xml:space="preserve">The pan European research project on compulsory admission and involuntary treatment of </w:t>
      </w:r>
      <w:r w:rsidRPr="00A479A2">
        <w:t>mentally ill patients – legislation and practice in EU-Member States</w:t>
      </w:r>
      <w:r w:rsidRPr="00A479A2">
        <w:rPr>
          <w:rStyle w:val="FootnoteReference"/>
          <w:rFonts w:cs="Arial"/>
          <w:sz w:val="24"/>
          <w:szCs w:val="24"/>
        </w:rPr>
        <w:footnoteReference w:id="92"/>
      </w:r>
      <w:r w:rsidRPr="00A479A2">
        <w:t xml:space="preserve"> in 2002 reveals structural deficits in both the legal and the sociosanitary areas, as well as a current practice that needs to be improved in Luxembourg: A major problem remains the absence of adequate structures for aggressive minors, who are therefore often placed in the CHNP. And there also is no institution other than the prison and the CHNP that </w:t>
      </w:r>
      <w:proofErr w:type="gramStart"/>
      <w:r w:rsidRPr="00A479A2">
        <w:t>is able to</w:t>
      </w:r>
      <w:proofErr w:type="gramEnd"/>
      <w:r w:rsidRPr="00A479A2">
        <w:t xml:space="preserve"> deal with mentally ill offenders.</w:t>
      </w:r>
    </w:p>
    <w:p w:rsidR="00A479A2" w:rsidRDefault="00A479A2">
      <w:pPr>
        <w:jc w:val="left"/>
        <w:rPr>
          <w:rFonts w:cs="Arial"/>
          <w:szCs w:val="24"/>
        </w:rPr>
      </w:pPr>
      <w:r>
        <w:rPr>
          <w:rFonts w:cs="Arial"/>
          <w:szCs w:val="24"/>
        </w:rPr>
        <w:br w:type="page"/>
      </w:r>
    </w:p>
    <w:p w:rsidR="008E4ACD" w:rsidRPr="00B92503" w:rsidRDefault="008E4ACD" w:rsidP="00A479A2">
      <w:pPr>
        <w:pStyle w:val="Heading1"/>
      </w:pPr>
      <w:bookmarkStart w:id="90" w:name="_TOC_250004"/>
      <w:bookmarkStart w:id="91" w:name="_Toc529874084"/>
      <w:bookmarkStart w:id="92" w:name="_Toc7612980"/>
      <w:bookmarkEnd w:id="90"/>
      <w:r w:rsidRPr="00B92503">
        <w:lastRenderedPageBreak/>
        <w:t>Academic research</w:t>
      </w:r>
      <w:bookmarkEnd w:id="91"/>
      <w:bookmarkEnd w:id="92"/>
    </w:p>
    <w:p w:rsidR="00A479A2" w:rsidRDefault="00A479A2" w:rsidP="00B92503">
      <w:pPr>
        <w:rPr>
          <w:rFonts w:cs="Arial"/>
          <w:szCs w:val="24"/>
        </w:rPr>
      </w:pPr>
    </w:p>
    <w:p w:rsidR="002A04AB" w:rsidRDefault="002A04AB" w:rsidP="00B92503">
      <w:pPr>
        <w:rPr>
          <w:rFonts w:cs="Arial"/>
          <w:szCs w:val="24"/>
        </w:rPr>
      </w:pPr>
      <w:r w:rsidRPr="00B92503">
        <w:rPr>
          <w:rFonts w:cs="Arial"/>
          <w:szCs w:val="24"/>
        </w:rPr>
        <w:t xml:space="preserve">Beadle-Brown’s and </w:t>
      </w:r>
      <w:proofErr w:type="spellStart"/>
      <w:r w:rsidRPr="00B92503">
        <w:rPr>
          <w:rFonts w:cs="Arial"/>
          <w:szCs w:val="24"/>
        </w:rPr>
        <w:t>Kozma’s</w:t>
      </w:r>
      <w:proofErr w:type="spellEnd"/>
      <w:r w:rsidRPr="00B92503">
        <w:rPr>
          <w:rFonts w:cs="Arial"/>
          <w:szCs w:val="24"/>
        </w:rPr>
        <w:t xml:space="preserve"> study</w:t>
      </w:r>
      <w:r w:rsidRPr="00B92503">
        <w:rPr>
          <w:rStyle w:val="FootnoteReference"/>
          <w:rFonts w:cs="Arial"/>
          <w:sz w:val="24"/>
          <w:szCs w:val="24"/>
        </w:rPr>
        <w:footnoteReference w:id="93"/>
      </w:r>
      <w:r w:rsidRPr="00B92503">
        <w:rPr>
          <w:rFonts w:cs="Arial"/>
          <w:szCs w:val="24"/>
        </w:rPr>
        <w:t xml:space="preserve"> on de</w:t>
      </w:r>
      <w:r w:rsidR="00B37E98" w:rsidRPr="00B92503">
        <w:rPr>
          <w:rFonts w:cs="Arial"/>
          <w:szCs w:val="24"/>
        </w:rPr>
        <w:t>-</w:t>
      </w:r>
      <w:r w:rsidRPr="00B92503">
        <w:rPr>
          <w:rFonts w:cs="Arial"/>
          <w:szCs w:val="24"/>
        </w:rPr>
        <w:t>institutionalisation and community has been already mentioned in this report.</w:t>
      </w:r>
    </w:p>
    <w:p w:rsidR="00A479A2" w:rsidRPr="00B92503" w:rsidRDefault="00A479A2" w:rsidP="00B92503">
      <w:pPr>
        <w:rPr>
          <w:rFonts w:cs="Arial"/>
          <w:szCs w:val="24"/>
        </w:rPr>
      </w:pPr>
    </w:p>
    <w:p w:rsidR="00A20042" w:rsidRPr="00B92503" w:rsidRDefault="00B76B5C" w:rsidP="00B92503">
      <w:pPr>
        <w:rPr>
          <w:rFonts w:cs="Arial"/>
          <w:szCs w:val="24"/>
        </w:rPr>
      </w:pPr>
      <w:r w:rsidRPr="00B92503">
        <w:rPr>
          <w:rFonts w:cs="Arial"/>
          <w:szCs w:val="24"/>
        </w:rPr>
        <w:t>There is a</w:t>
      </w:r>
      <w:r w:rsidR="002A04AB" w:rsidRPr="00B92503">
        <w:rPr>
          <w:rFonts w:cs="Arial"/>
          <w:szCs w:val="24"/>
        </w:rPr>
        <w:t xml:space="preserve">nother </w:t>
      </w:r>
      <w:r w:rsidRPr="00B92503">
        <w:rPr>
          <w:rFonts w:cs="Arial"/>
          <w:szCs w:val="24"/>
        </w:rPr>
        <w:t xml:space="preserve">research article on involuntary placement comparing European </w:t>
      </w:r>
      <w:r w:rsidR="00E1309A" w:rsidRPr="00B92503">
        <w:rPr>
          <w:rFonts w:cs="Arial"/>
          <w:szCs w:val="24"/>
        </w:rPr>
        <w:t>Co</w:t>
      </w:r>
      <w:r w:rsidR="000C141B" w:rsidRPr="00B92503">
        <w:rPr>
          <w:rFonts w:cs="Arial"/>
          <w:szCs w:val="24"/>
        </w:rPr>
        <w:t>u</w:t>
      </w:r>
      <w:r w:rsidR="00E1309A" w:rsidRPr="00B92503">
        <w:rPr>
          <w:rFonts w:cs="Arial"/>
          <w:szCs w:val="24"/>
        </w:rPr>
        <w:t>ntries</w:t>
      </w:r>
      <w:r w:rsidRPr="00B92503">
        <w:rPr>
          <w:rFonts w:cs="Arial"/>
          <w:szCs w:val="24"/>
        </w:rPr>
        <w:t xml:space="preserve"> written by </w:t>
      </w:r>
      <w:proofErr w:type="spellStart"/>
      <w:r w:rsidRPr="00B92503">
        <w:rPr>
          <w:rFonts w:cs="Arial"/>
          <w:szCs w:val="24"/>
        </w:rPr>
        <w:t>Salize</w:t>
      </w:r>
      <w:proofErr w:type="spellEnd"/>
      <w:r w:rsidRPr="00B92503">
        <w:rPr>
          <w:rFonts w:cs="Arial"/>
          <w:szCs w:val="24"/>
        </w:rPr>
        <w:t>, H.J. and Harald Dressing, H. (published online 2018)</w:t>
      </w:r>
      <w:r w:rsidR="00A479A2">
        <w:rPr>
          <w:rFonts w:cs="Arial"/>
          <w:szCs w:val="24"/>
        </w:rPr>
        <w:t>.</w:t>
      </w:r>
      <w:r w:rsidRPr="00B92503">
        <w:rPr>
          <w:rStyle w:val="FootnoteReference"/>
          <w:rFonts w:cs="Arial"/>
          <w:sz w:val="24"/>
          <w:szCs w:val="24"/>
        </w:rPr>
        <w:footnoteReference w:id="94"/>
      </w:r>
      <w:r w:rsidR="00A479A2">
        <w:rPr>
          <w:rFonts w:cs="Arial"/>
          <w:szCs w:val="24"/>
        </w:rPr>
        <w:t xml:space="preserve"> </w:t>
      </w:r>
      <w:r w:rsidRPr="00B92503">
        <w:rPr>
          <w:rFonts w:cs="Arial"/>
          <w:szCs w:val="24"/>
        </w:rPr>
        <w:t xml:space="preserve">The authors concluded that total frequencies of admission and compulsory admission rates vary remarkably across the EU. Variation hints at the influence of differences in legal frameworks or procedures. Time series suggest an overall tendency towards </w:t>
      </w:r>
      <w:proofErr w:type="gramStart"/>
      <w:r w:rsidRPr="00B92503">
        <w:rPr>
          <w:rFonts w:cs="Arial"/>
          <w:szCs w:val="24"/>
        </w:rPr>
        <w:t>more or less stable</w:t>
      </w:r>
      <w:proofErr w:type="gramEnd"/>
      <w:r w:rsidRPr="00B92503">
        <w:rPr>
          <w:rFonts w:cs="Arial"/>
          <w:szCs w:val="24"/>
        </w:rPr>
        <w:t xml:space="preserve"> quotas in most member states.</w:t>
      </w:r>
      <w:r w:rsidR="00487A87" w:rsidRPr="00B92503">
        <w:rPr>
          <w:rFonts w:cs="Arial"/>
          <w:szCs w:val="24"/>
        </w:rPr>
        <w:t xml:space="preserve"> Placements have been more frequent in Luxembourg than in other Europe</w:t>
      </w:r>
      <w:r w:rsidR="00641C9C" w:rsidRPr="00B92503">
        <w:rPr>
          <w:rFonts w:cs="Arial"/>
          <w:szCs w:val="24"/>
        </w:rPr>
        <w:t>a</w:t>
      </w:r>
      <w:r w:rsidR="00487A87" w:rsidRPr="00B92503">
        <w:rPr>
          <w:rFonts w:cs="Arial"/>
          <w:szCs w:val="24"/>
        </w:rPr>
        <w:t>n countries.</w:t>
      </w:r>
      <w:bookmarkStart w:id="93" w:name="_TOC_250003"/>
      <w:bookmarkStart w:id="94" w:name="_Toc529874085"/>
      <w:bookmarkEnd w:id="93"/>
    </w:p>
    <w:p w:rsidR="00A20042" w:rsidRPr="00B92503" w:rsidRDefault="00A20042" w:rsidP="00B92503">
      <w:pPr>
        <w:rPr>
          <w:rFonts w:cs="Arial"/>
          <w:szCs w:val="24"/>
        </w:rPr>
      </w:pPr>
    </w:p>
    <w:p w:rsidR="00A479A2" w:rsidRDefault="00A479A2">
      <w:pPr>
        <w:jc w:val="left"/>
        <w:rPr>
          <w:rFonts w:cs="Arial"/>
          <w:szCs w:val="24"/>
        </w:rPr>
      </w:pPr>
      <w:r>
        <w:rPr>
          <w:rFonts w:cs="Arial"/>
          <w:szCs w:val="24"/>
        </w:rPr>
        <w:br w:type="page"/>
      </w:r>
    </w:p>
    <w:p w:rsidR="008E4ACD" w:rsidRPr="00B92503" w:rsidRDefault="008E4ACD" w:rsidP="00A479A2">
      <w:pPr>
        <w:pStyle w:val="Heading1"/>
        <w:numPr>
          <w:ilvl w:val="0"/>
          <w:numId w:val="0"/>
        </w:numPr>
        <w:ind w:left="567" w:hanging="567"/>
      </w:pPr>
      <w:bookmarkStart w:id="95" w:name="_Toc7612981"/>
      <w:r w:rsidRPr="00B92503">
        <w:lastRenderedPageBreak/>
        <w:t>PART C</w:t>
      </w:r>
      <w:r w:rsidR="00A75929" w:rsidRPr="00B92503">
        <w:t xml:space="preserve"> – </w:t>
      </w:r>
      <w:r w:rsidR="00DA2456" w:rsidRPr="00B92503">
        <w:t>K</w:t>
      </w:r>
      <w:r w:rsidRPr="00B92503">
        <w:t>ey points</w:t>
      </w:r>
      <w:bookmarkEnd w:id="94"/>
      <w:bookmarkEnd w:id="95"/>
    </w:p>
    <w:p w:rsidR="00A20042" w:rsidRPr="00B92503" w:rsidRDefault="00A20042" w:rsidP="00B92503">
      <w:pPr>
        <w:rPr>
          <w:rFonts w:cs="Arial"/>
          <w:szCs w:val="24"/>
        </w:rPr>
      </w:pPr>
    </w:p>
    <w:p w:rsidR="008E4ACD" w:rsidRPr="00B92503" w:rsidRDefault="008E4ACD" w:rsidP="00A479A2">
      <w:pPr>
        <w:pStyle w:val="Heading1"/>
      </w:pPr>
      <w:bookmarkStart w:id="96" w:name="_TOC_250002"/>
      <w:bookmarkStart w:id="97" w:name="_Toc529874086"/>
      <w:bookmarkStart w:id="98" w:name="_Toc7612982"/>
      <w:r w:rsidRPr="00B92503">
        <w:t xml:space="preserve">Positive developments, including promising practice </w:t>
      </w:r>
      <w:bookmarkEnd w:id="96"/>
      <w:r w:rsidRPr="00B92503">
        <w:t>examples</w:t>
      </w:r>
      <w:bookmarkEnd w:id="97"/>
      <w:bookmarkEnd w:id="98"/>
    </w:p>
    <w:p w:rsidR="00A20042" w:rsidRPr="00B92503" w:rsidRDefault="00A20042" w:rsidP="00B92503">
      <w:pPr>
        <w:rPr>
          <w:rFonts w:cs="Arial"/>
          <w:szCs w:val="24"/>
        </w:rPr>
      </w:pPr>
    </w:p>
    <w:p w:rsidR="008E4ACD" w:rsidRDefault="00641C9C" w:rsidP="00B92503">
      <w:pPr>
        <w:rPr>
          <w:rFonts w:cs="Arial"/>
          <w:szCs w:val="24"/>
        </w:rPr>
      </w:pPr>
      <w:r w:rsidRPr="00B92503">
        <w:rPr>
          <w:rFonts w:cs="Arial"/>
          <w:szCs w:val="24"/>
        </w:rPr>
        <w:t xml:space="preserve">A positive note is that there has been a tendency to reduce the central psychiatric unit in </w:t>
      </w:r>
      <w:proofErr w:type="spellStart"/>
      <w:r w:rsidRPr="00B92503">
        <w:rPr>
          <w:rFonts w:cs="Arial"/>
          <w:szCs w:val="24"/>
        </w:rPr>
        <w:t>Ettelbrück</w:t>
      </w:r>
      <w:proofErr w:type="spellEnd"/>
      <w:r w:rsidRPr="00B92503">
        <w:rPr>
          <w:rFonts w:cs="Arial"/>
          <w:szCs w:val="24"/>
        </w:rPr>
        <w:t xml:space="preserve"> and that decentralised psychiatric care units have been created.</w:t>
      </w:r>
      <w:r w:rsidR="001A0AEC" w:rsidRPr="00B92503">
        <w:rPr>
          <w:rStyle w:val="FootnoteReference"/>
          <w:rFonts w:cs="Arial"/>
          <w:sz w:val="24"/>
          <w:szCs w:val="24"/>
        </w:rPr>
        <w:footnoteReference w:id="95"/>
      </w:r>
      <w:r w:rsidRPr="00B92503">
        <w:rPr>
          <w:rFonts w:cs="Arial"/>
          <w:szCs w:val="24"/>
        </w:rPr>
        <w:t xml:space="preserve"> </w:t>
      </w:r>
    </w:p>
    <w:p w:rsidR="00A479A2" w:rsidRPr="00B92503" w:rsidRDefault="00A479A2" w:rsidP="00B92503">
      <w:pPr>
        <w:rPr>
          <w:rFonts w:cs="Arial"/>
          <w:szCs w:val="24"/>
        </w:rPr>
      </w:pPr>
    </w:p>
    <w:p w:rsidR="00641C9C" w:rsidRPr="00B92503" w:rsidRDefault="00414E86" w:rsidP="00B92503">
      <w:pPr>
        <w:rPr>
          <w:rFonts w:cs="Arial"/>
          <w:szCs w:val="24"/>
        </w:rPr>
      </w:pPr>
      <w:r w:rsidRPr="00B92503">
        <w:rPr>
          <w:rFonts w:cs="Arial"/>
          <w:szCs w:val="24"/>
        </w:rPr>
        <w:t>In typical inpatient facilities, group sizes have been reduced and family-like structures have been established.</w:t>
      </w:r>
      <w:r w:rsidR="009D38AC" w:rsidRPr="00B92503">
        <w:rPr>
          <w:rStyle w:val="FootnoteReference"/>
          <w:rFonts w:cs="Arial"/>
          <w:sz w:val="24"/>
          <w:szCs w:val="24"/>
        </w:rPr>
        <w:footnoteReference w:id="96"/>
      </w:r>
    </w:p>
    <w:p w:rsidR="00A479A2" w:rsidRDefault="00A479A2" w:rsidP="00B92503">
      <w:pPr>
        <w:rPr>
          <w:rFonts w:cs="Arial"/>
          <w:szCs w:val="24"/>
        </w:rPr>
      </w:pPr>
    </w:p>
    <w:p w:rsidR="00414E86" w:rsidRPr="00B92503" w:rsidRDefault="00414E86" w:rsidP="00B92503">
      <w:pPr>
        <w:rPr>
          <w:rFonts w:cs="Arial"/>
          <w:szCs w:val="24"/>
        </w:rPr>
      </w:pPr>
      <w:r w:rsidRPr="00B92503">
        <w:rPr>
          <w:rFonts w:cs="Arial"/>
          <w:szCs w:val="24"/>
        </w:rPr>
        <w:t>Independent Living services have increased in number and can be found in the different communities.</w:t>
      </w:r>
      <w:r w:rsidR="004B5535" w:rsidRPr="00B92503">
        <w:rPr>
          <w:rStyle w:val="FootnoteReference"/>
          <w:rFonts w:cs="Arial"/>
          <w:sz w:val="24"/>
          <w:szCs w:val="24"/>
        </w:rPr>
        <w:t xml:space="preserve"> </w:t>
      </w:r>
      <w:r w:rsidR="004B5535" w:rsidRPr="00B92503">
        <w:rPr>
          <w:rStyle w:val="FootnoteReference"/>
          <w:rFonts w:cs="Arial"/>
          <w:sz w:val="24"/>
          <w:szCs w:val="24"/>
        </w:rPr>
        <w:footnoteReference w:id="97"/>
      </w:r>
    </w:p>
    <w:p w:rsidR="00A479A2" w:rsidRDefault="00A479A2" w:rsidP="00B92503">
      <w:pPr>
        <w:rPr>
          <w:rFonts w:cs="Arial"/>
          <w:szCs w:val="24"/>
        </w:rPr>
      </w:pPr>
    </w:p>
    <w:p w:rsidR="00191463" w:rsidRPr="00B92503" w:rsidRDefault="0061574D" w:rsidP="00B92503">
      <w:pPr>
        <w:rPr>
          <w:rFonts w:cs="Arial"/>
          <w:szCs w:val="24"/>
        </w:rPr>
      </w:pPr>
      <w:r w:rsidRPr="00B92503">
        <w:rPr>
          <w:rFonts w:cs="Arial"/>
          <w:szCs w:val="24"/>
        </w:rPr>
        <w:t>The national long-term care insurance</w:t>
      </w:r>
      <w:r w:rsidR="009D38AC" w:rsidRPr="00B92503">
        <w:rPr>
          <w:rStyle w:val="FootnoteReference"/>
          <w:rFonts w:cs="Arial"/>
          <w:sz w:val="24"/>
          <w:szCs w:val="24"/>
        </w:rPr>
        <w:footnoteReference w:id="98"/>
      </w:r>
      <w:r w:rsidRPr="00B92503">
        <w:rPr>
          <w:rFonts w:cs="Arial"/>
          <w:szCs w:val="24"/>
        </w:rPr>
        <w:t xml:space="preserve"> covers to a defined extent care costs and costs associated with measures that can be assigned to barrier-free access and accessibility in the domestic context.</w:t>
      </w:r>
    </w:p>
    <w:p w:rsidR="00A479A2" w:rsidRDefault="00A479A2" w:rsidP="00B92503">
      <w:pPr>
        <w:rPr>
          <w:rFonts w:cs="Arial"/>
          <w:szCs w:val="24"/>
        </w:rPr>
      </w:pPr>
    </w:p>
    <w:p w:rsidR="00180570" w:rsidRDefault="00180570" w:rsidP="00B92503">
      <w:pPr>
        <w:rPr>
          <w:rFonts w:cs="Arial"/>
          <w:szCs w:val="24"/>
        </w:rPr>
      </w:pPr>
      <w:r w:rsidRPr="00B92503">
        <w:rPr>
          <w:rFonts w:cs="Arial"/>
          <w:szCs w:val="24"/>
        </w:rPr>
        <w:t>With "</w:t>
      </w:r>
      <w:proofErr w:type="spellStart"/>
      <w:r w:rsidRPr="00B92503">
        <w:rPr>
          <w:rFonts w:cs="Arial"/>
          <w:i/>
          <w:szCs w:val="24"/>
        </w:rPr>
        <w:t>Nemme</w:t>
      </w:r>
      <w:proofErr w:type="spellEnd"/>
      <w:r w:rsidRPr="00B92503">
        <w:rPr>
          <w:rFonts w:cs="Arial"/>
          <w:i/>
          <w:szCs w:val="24"/>
        </w:rPr>
        <w:t xml:space="preserve"> mat </w:t>
      </w:r>
      <w:proofErr w:type="spellStart"/>
      <w:r w:rsidRPr="00B92503">
        <w:rPr>
          <w:rFonts w:cs="Arial"/>
          <w:i/>
          <w:szCs w:val="24"/>
        </w:rPr>
        <w:t>Eis</w:t>
      </w:r>
      <w:proofErr w:type="spellEnd"/>
      <w:r w:rsidRPr="00B92503">
        <w:rPr>
          <w:rFonts w:cs="Arial"/>
          <w:szCs w:val="24"/>
        </w:rPr>
        <w:t>"</w:t>
      </w:r>
      <w:r w:rsidR="00A479A2">
        <w:rPr>
          <w:rFonts w:cs="Arial"/>
          <w:szCs w:val="24"/>
        </w:rPr>
        <w:t>,</w:t>
      </w:r>
      <w:r w:rsidR="009D38AC" w:rsidRPr="00B92503">
        <w:rPr>
          <w:rStyle w:val="FootnoteReference"/>
          <w:rFonts w:cs="Arial"/>
          <w:sz w:val="24"/>
          <w:szCs w:val="24"/>
        </w:rPr>
        <w:footnoteReference w:id="99"/>
      </w:r>
      <w:r w:rsidRPr="00B92503">
        <w:rPr>
          <w:rFonts w:cs="Arial"/>
          <w:szCs w:val="24"/>
        </w:rPr>
        <w:t xml:space="preserve"> a self-help initiative has been founded that advocates independent living from the perspective of those affected.</w:t>
      </w:r>
    </w:p>
    <w:p w:rsidR="00A479A2" w:rsidRPr="00B92503" w:rsidRDefault="00A479A2" w:rsidP="00B92503">
      <w:pPr>
        <w:rPr>
          <w:rFonts w:cs="Arial"/>
          <w:szCs w:val="24"/>
        </w:rPr>
      </w:pPr>
    </w:p>
    <w:p w:rsidR="00724D39" w:rsidRDefault="00724D39" w:rsidP="00B92503">
      <w:pPr>
        <w:rPr>
          <w:rFonts w:cs="Arial"/>
          <w:szCs w:val="24"/>
        </w:rPr>
      </w:pPr>
      <w:r w:rsidRPr="00B92503">
        <w:rPr>
          <w:rFonts w:cs="Arial"/>
          <w:szCs w:val="24"/>
        </w:rPr>
        <w:t>In its implementing provisions</w:t>
      </w:r>
      <w:r w:rsidR="00D31B0E" w:rsidRPr="00B92503">
        <w:rPr>
          <w:rFonts w:cs="Arial"/>
          <w:szCs w:val="24"/>
        </w:rPr>
        <w:t xml:space="preserve"> </w:t>
      </w:r>
      <w:r w:rsidR="009A393D" w:rsidRPr="00B92503">
        <w:rPr>
          <w:rFonts w:cs="Arial"/>
          <w:szCs w:val="24"/>
        </w:rPr>
        <w:t>(</w:t>
      </w:r>
      <w:r w:rsidR="00BE211E" w:rsidRPr="00B92503">
        <w:rPr>
          <w:rFonts w:cs="Arial"/>
          <w:i/>
          <w:szCs w:val="24"/>
        </w:rPr>
        <w:t xml:space="preserve">guide des </w:t>
      </w:r>
      <w:proofErr w:type="spellStart"/>
      <w:r w:rsidR="00BE211E" w:rsidRPr="00B92503">
        <w:rPr>
          <w:rFonts w:cs="Arial"/>
          <w:i/>
          <w:szCs w:val="24"/>
        </w:rPr>
        <w:t>normes</w:t>
      </w:r>
      <w:proofErr w:type="spellEnd"/>
      <w:r w:rsidR="00BE211E" w:rsidRPr="00B92503">
        <w:rPr>
          <w:rFonts w:cs="Arial"/>
          <w:i/>
          <w:szCs w:val="24"/>
        </w:rPr>
        <w:t xml:space="preserve"> </w:t>
      </w:r>
      <w:proofErr w:type="spellStart"/>
      <w:r w:rsidR="00BE211E" w:rsidRPr="00B92503">
        <w:rPr>
          <w:rFonts w:cs="Arial"/>
          <w:i/>
          <w:szCs w:val="24"/>
        </w:rPr>
        <w:t>d’accessibilités</w:t>
      </w:r>
      <w:proofErr w:type="spellEnd"/>
      <w:r w:rsidR="00BE211E" w:rsidRPr="00B92503">
        <w:rPr>
          <w:rFonts w:cs="Arial"/>
          <w:szCs w:val="24"/>
        </w:rPr>
        <w:t>)</w:t>
      </w:r>
      <w:r w:rsidR="00A479A2">
        <w:rPr>
          <w:rFonts w:cs="Arial"/>
          <w:szCs w:val="24"/>
        </w:rPr>
        <w:t>,</w:t>
      </w:r>
      <w:r w:rsidR="00BE211E" w:rsidRPr="00B92503">
        <w:rPr>
          <w:rStyle w:val="FootnoteReference"/>
          <w:rFonts w:cs="Arial"/>
          <w:sz w:val="24"/>
          <w:szCs w:val="24"/>
        </w:rPr>
        <w:footnoteReference w:id="100"/>
      </w:r>
      <w:r w:rsidRPr="00B92503">
        <w:rPr>
          <w:rFonts w:cs="Arial"/>
          <w:szCs w:val="24"/>
        </w:rPr>
        <w:t xml:space="preserve"> </w:t>
      </w:r>
      <w:r w:rsidR="00BE211E" w:rsidRPr="00B92503">
        <w:rPr>
          <w:rFonts w:cs="Arial"/>
          <w:szCs w:val="24"/>
        </w:rPr>
        <w:t xml:space="preserve">added to </w:t>
      </w:r>
      <w:r w:rsidRPr="00B92503">
        <w:rPr>
          <w:rFonts w:cs="Arial"/>
          <w:szCs w:val="24"/>
        </w:rPr>
        <w:t>the national accessibility law</w:t>
      </w:r>
      <w:r w:rsidR="00D31B0E" w:rsidRPr="00B92503">
        <w:rPr>
          <w:rFonts w:cs="Arial"/>
          <w:szCs w:val="24"/>
        </w:rPr>
        <w:t xml:space="preserve"> (2001)</w:t>
      </w:r>
      <w:r w:rsidR="00BE211E" w:rsidRPr="00B92503">
        <w:rPr>
          <w:rStyle w:val="FootnoteReference"/>
          <w:rFonts w:cs="Arial"/>
          <w:sz w:val="24"/>
          <w:szCs w:val="24"/>
        </w:rPr>
        <w:footnoteReference w:id="101"/>
      </w:r>
      <w:r w:rsidRPr="00B92503">
        <w:rPr>
          <w:rFonts w:cs="Arial"/>
          <w:szCs w:val="24"/>
        </w:rPr>
        <w:t xml:space="preserve"> </w:t>
      </w:r>
      <w:r w:rsidR="00BE211E" w:rsidRPr="00B92503">
        <w:rPr>
          <w:rFonts w:cs="Arial"/>
          <w:szCs w:val="24"/>
        </w:rPr>
        <w:t xml:space="preserve">it is clearly defined and precisely and in detail specified how accessibility must be implemented. </w:t>
      </w:r>
    </w:p>
    <w:p w:rsidR="00A479A2" w:rsidRPr="00B92503" w:rsidRDefault="00A479A2" w:rsidP="00B92503">
      <w:pPr>
        <w:rPr>
          <w:rFonts w:cs="Arial"/>
          <w:szCs w:val="24"/>
        </w:rPr>
      </w:pPr>
    </w:p>
    <w:p w:rsidR="00724D39" w:rsidRPr="00B92503" w:rsidRDefault="00724D39" w:rsidP="00B92503">
      <w:pPr>
        <w:rPr>
          <w:rFonts w:cs="Arial"/>
          <w:szCs w:val="24"/>
        </w:rPr>
      </w:pPr>
      <w:r w:rsidRPr="00B92503">
        <w:rPr>
          <w:rFonts w:cs="Arial"/>
          <w:szCs w:val="24"/>
        </w:rPr>
        <w:t xml:space="preserve">The Ministry of Family Affairs has published a brochure </w:t>
      </w:r>
      <w:r w:rsidR="00D31B0E" w:rsidRPr="00B92503">
        <w:rPr>
          <w:rFonts w:cs="Arial"/>
          <w:szCs w:val="24"/>
        </w:rPr>
        <w:t xml:space="preserve">(year not specified) </w:t>
      </w:r>
      <w:r w:rsidRPr="00B92503">
        <w:rPr>
          <w:rFonts w:cs="Arial"/>
          <w:szCs w:val="24"/>
        </w:rPr>
        <w:t>especially for the private housing sector which provides concrete examples of disability-friendly planning and design of private homes.</w:t>
      </w:r>
      <w:r w:rsidRPr="00B92503">
        <w:rPr>
          <w:rStyle w:val="FootnoteReference"/>
          <w:rFonts w:cs="Arial"/>
          <w:sz w:val="24"/>
          <w:szCs w:val="24"/>
        </w:rPr>
        <w:footnoteReference w:id="102"/>
      </w:r>
    </w:p>
    <w:p w:rsidR="00156D3B" w:rsidRPr="00B92503" w:rsidRDefault="00156D3B" w:rsidP="00B92503">
      <w:pPr>
        <w:rPr>
          <w:rFonts w:cs="Arial"/>
          <w:szCs w:val="24"/>
          <w:lang w:val="en-US"/>
        </w:rPr>
      </w:pPr>
    </w:p>
    <w:p w:rsidR="008E4ACD" w:rsidRPr="00B92503" w:rsidRDefault="008E4ACD" w:rsidP="00A479A2">
      <w:pPr>
        <w:pStyle w:val="Heading1"/>
      </w:pPr>
      <w:bookmarkStart w:id="99" w:name="_TOC_250001"/>
      <w:bookmarkStart w:id="100" w:name="_Toc529874087"/>
      <w:bookmarkStart w:id="101" w:name="_Toc7612983"/>
      <w:r w:rsidRPr="00B92503">
        <w:t xml:space="preserve">Negative developments including examples of poor </w:t>
      </w:r>
      <w:bookmarkEnd w:id="99"/>
      <w:r w:rsidRPr="00B92503">
        <w:t>practice</w:t>
      </w:r>
      <w:bookmarkEnd w:id="100"/>
      <w:bookmarkEnd w:id="101"/>
    </w:p>
    <w:p w:rsidR="00A479A2" w:rsidRDefault="00A479A2" w:rsidP="00B92503">
      <w:pPr>
        <w:rPr>
          <w:rFonts w:cs="Arial"/>
          <w:szCs w:val="24"/>
        </w:rPr>
      </w:pPr>
    </w:p>
    <w:p w:rsidR="00156D3B" w:rsidRPr="00B92503" w:rsidRDefault="00156D3B" w:rsidP="00B92503">
      <w:pPr>
        <w:rPr>
          <w:rFonts w:cs="Arial"/>
          <w:szCs w:val="24"/>
        </w:rPr>
      </w:pPr>
      <w:r w:rsidRPr="00B92503">
        <w:rPr>
          <w:rFonts w:cs="Arial"/>
          <w:szCs w:val="24"/>
        </w:rPr>
        <w:t xml:space="preserve">There is no general definition of people with disabilities in Luxembourg, so their participation in specific social functions </w:t>
      </w:r>
      <w:r w:rsidR="00D31B0E" w:rsidRPr="00B92503">
        <w:rPr>
          <w:rFonts w:cs="Arial"/>
          <w:szCs w:val="24"/>
        </w:rPr>
        <w:t xml:space="preserve">(living independently in the community) </w:t>
      </w:r>
      <w:r w:rsidRPr="00B92503">
        <w:rPr>
          <w:rFonts w:cs="Arial"/>
          <w:szCs w:val="24"/>
        </w:rPr>
        <w:t>can only be inaccurately estimated.</w:t>
      </w:r>
      <w:r w:rsidR="001A0AEC" w:rsidRPr="00B92503">
        <w:rPr>
          <w:rStyle w:val="FootnoteReference"/>
          <w:rFonts w:cs="Arial"/>
          <w:sz w:val="24"/>
          <w:szCs w:val="24"/>
        </w:rPr>
        <w:footnoteReference w:id="103"/>
      </w:r>
    </w:p>
    <w:p w:rsidR="001506A7" w:rsidRDefault="001506A7" w:rsidP="005C6E68">
      <w:r w:rsidRPr="00B92503">
        <w:lastRenderedPageBreak/>
        <w:t xml:space="preserve">The reduction of group size may be a positive indicator of quality of live in </w:t>
      </w:r>
      <w:proofErr w:type="gramStart"/>
      <w:r w:rsidRPr="00B92503">
        <w:t>institutions,</w:t>
      </w:r>
      <w:r w:rsidR="000C141B" w:rsidRPr="00B92503">
        <w:t xml:space="preserve"> </w:t>
      </w:r>
      <w:r w:rsidRPr="00B92503">
        <w:t>but</w:t>
      </w:r>
      <w:proofErr w:type="gramEnd"/>
      <w:r w:rsidRPr="00B92503">
        <w:t xml:space="preserve"> does not indicate an increase </w:t>
      </w:r>
      <w:r w:rsidR="001D5CE7" w:rsidRPr="00B92503">
        <w:t xml:space="preserve">in independent living. Institutional care is still widespread in Luxembourg. The very high apartment and rent prices make it difficult for people with disabilities who do not have </w:t>
      </w:r>
      <w:proofErr w:type="gramStart"/>
      <w:r w:rsidR="001D5CE7" w:rsidRPr="00B92503">
        <w:t>sufficient</w:t>
      </w:r>
      <w:proofErr w:type="gramEnd"/>
      <w:r w:rsidR="001D5CE7" w:rsidRPr="00B92503">
        <w:t xml:space="preserve"> financial means to live in the community.</w:t>
      </w:r>
    </w:p>
    <w:p w:rsidR="005C6E68" w:rsidRPr="00B92503" w:rsidRDefault="005C6E68" w:rsidP="00B92503">
      <w:pPr>
        <w:pStyle w:val="BodyText"/>
        <w:ind w:left="221" w:right="350"/>
      </w:pPr>
    </w:p>
    <w:p w:rsidR="00C10140" w:rsidRDefault="00C10140" w:rsidP="00B92503">
      <w:pPr>
        <w:rPr>
          <w:rFonts w:cs="Arial"/>
          <w:szCs w:val="24"/>
        </w:rPr>
      </w:pPr>
      <w:r w:rsidRPr="00B92503">
        <w:rPr>
          <w:rFonts w:cs="Arial"/>
          <w:szCs w:val="24"/>
        </w:rPr>
        <w:t>Disability is often seen as a person sitting in a wheelchair and measures are based on this paradigmatic model, so that especially for people with cognitive impairments and psychological problems no adequate support measures result.</w:t>
      </w:r>
      <w:r w:rsidRPr="00B92503">
        <w:rPr>
          <w:rStyle w:val="FootnoteReference"/>
          <w:rFonts w:cs="Arial"/>
          <w:sz w:val="24"/>
          <w:szCs w:val="24"/>
        </w:rPr>
        <w:footnoteReference w:id="104"/>
      </w:r>
      <w:r w:rsidRPr="00B92503">
        <w:rPr>
          <w:rFonts w:cs="Arial"/>
          <w:szCs w:val="24"/>
        </w:rPr>
        <w:t xml:space="preserve"> </w:t>
      </w:r>
    </w:p>
    <w:p w:rsidR="005C6E68" w:rsidRPr="00B92503" w:rsidRDefault="005C6E68" w:rsidP="00B92503">
      <w:pPr>
        <w:rPr>
          <w:rFonts w:cs="Arial"/>
          <w:szCs w:val="24"/>
        </w:rPr>
      </w:pPr>
    </w:p>
    <w:p w:rsidR="008E4ACD" w:rsidRDefault="004E2C5E" w:rsidP="00B92503">
      <w:pPr>
        <w:rPr>
          <w:rFonts w:cs="Arial"/>
          <w:szCs w:val="24"/>
        </w:rPr>
      </w:pPr>
      <w:r w:rsidRPr="00B92503">
        <w:rPr>
          <w:rFonts w:cs="Arial"/>
          <w:szCs w:val="24"/>
        </w:rPr>
        <w:t>There is no national disability coordinator in Luxembourg who could identify shortcomings and organise actions.</w:t>
      </w:r>
      <w:r w:rsidR="0018674E" w:rsidRPr="00B92503">
        <w:rPr>
          <w:rStyle w:val="FootnoteReference"/>
          <w:rFonts w:cs="Arial"/>
          <w:sz w:val="24"/>
          <w:szCs w:val="24"/>
        </w:rPr>
        <w:footnoteReference w:id="105"/>
      </w:r>
    </w:p>
    <w:p w:rsidR="005C6E68" w:rsidRPr="00B92503" w:rsidRDefault="005C6E68" w:rsidP="00B92503">
      <w:pPr>
        <w:rPr>
          <w:rFonts w:cs="Arial"/>
          <w:szCs w:val="24"/>
        </w:rPr>
      </w:pPr>
    </w:p>
    <w:p w:rsidR="00191463" w:rsidRDefault="004E2C5E" w:rsidP="00B92503">
      <w:pPr>
        <w:rPr>
          <w:rFonts w:cs="Arial"/>
          <w:szCs w:val="24"/>
        </w:rPr>
      </w:pPr>
      <w:r w:rsidRPr="00B92503">
        <w:rPr>
          <w:rFonts w:cs="Arial"/>
          <w:szCs w:val="24"/>
        </w:rPr>
        <w:t>For people with disabilities under guardianship, the legal situation has not changed, although Luxembourg's legal practice has already been criticised since the first national Action Plan</w:t>
      </w:r>
      <w:r w:rsidR="005C6E68">
        <w:rPr>
          <w:rFonts w:cs="Arial"/>
          <w:szCs w:val="24"/>
        </w:rPr>
        <w:t>.</w:t>
      </w:r>
      <w:r w:rsidR="00B37E98" w:rsidRPr="00B92503">
        <w:rPr>
          <w:rStyle w:val="FootnoteReference"/>
          <w:rFonts w:cs="Arial"/>
          <w:sz w:val="24"/>
          <w:szCs w:val="24"/>
        </w:rPr>
        <w:footnoteReference w:id="106"/>
      </w:r>
    </w:p>
    <w:p w:rsidR="005C6E68" w:rsidRPr="00B92503" w:rsidRDefault="005C6E68" w:rsidP="00B92503">
      <w:pPr>
        <w:rPr>
          <w:rFonts w:cs="Arial"/>
          <w:szCs w:val="24"/>
        </w:rPr>
      </w:pPr>
    </w:p>
    <w:p w:rsidR="004E2C5E" w:rsidRPr="00B92503" w:rsidRDefault="004E2C5E" w:rsidP="00B92503">
      <w:pPr>
        <w:rPr>
          <w:rFonts w:cs="Arial"/>
          <w:szCs w:val="24"/>
        </w:rPr>
      </w:pPr>
      <w:r w:rsidRPr="00B92503">
        <w:rPr>
          <w:rFonts w:cs="Arial"/>
          <w:szCs w:val="24"/>
        </w:rPr>
        <w:t>Except for the historically established grants for the visually impaired, for example, no individual assistance or care budget has been implemented in Luxembourg. People with disabilities in Luxembourg could not succeed in Luxembourg with the demand for an individualised and self-managed care budget.</w:t>
      </w:r>
      <w:r w:rsidR="003939E8" w:rsidRPr="00B92503">
        <w:rPr>
          <w:rStyle w:val="FootnoteReference"/>
          <w:rFonts w:cs="Arial"/>
          <w:sz w:val="24"/>
          <w:szCs w:val="24"/>
        </w:rPr>
        <w:footnoteReference w:id="107"/>
      </w:r>
    </w:p>
    <w:p w:rsidR="005C6E68" w:rsidRDefault="005C6E68" w:rsidP="00B92503">
      <w:pPr>
        <w:rPr>
          <w:rFonts w:cs="Arial"/>
          <w:szCs w:val="24"/>
        </w:rPr>
      </w:pPr>
    </w:p>
    <w:p w:rsidR="00D31B0E" w:rsidRPr="00B92503" w:rsidRDefault="00D31B0E" w:rsidP="00B92503">
      <w:pPr>
        <w:rPr>
          <w:rFonts w:cs="Arial"/>
          <w:szCs w:val="24"/>
        </w:rPr>
      </w:pPr>
      <w:r w:rsidRPr="00B92503">
        <w:rPr>
          <w:rFonts w:cs="Arial"/>
          <w:szCs w:val="24"/>
        </w:rPr>
        <w:t>The Accessibility Act has so far only applied to buildings open to the public and has not been sufficiently monitored.  As a result, not all essential buildings (for example, the domestic university of the country) are barrier-free, as required by law.</w:t>
      </w:r>
      <w:r w:rsidRPr="00B92503">
        <w:rPr>
          <w:rStyle w:val="FootnoteReference"/>
          <w:rFonts w:cs="Arial"/>
          <w:sz w:val="24"/>
          <w:szCs w:val="24"/>
        </w:rPr>
        <w:footnoteReference w:id="108"/>
      </w:r>
      <w:r w:rsidRPr="00B92503">
        <w:rPr>
          <w:rFonts w:cs="Arial"/>
          <w:szCs w:val="24"/>
        </w:rPr>
        <w:t xml:space="preserve"> </w:t>
      </w:r>
    </w:p>
    <w:p w:rsidR="005C6E68" w:rsidRDefault="005C6E68" w:rsidP="00B92503">
      <w:pPr>
        <w:rPr>
          <w:rFonts w:cs="Arial"/>
          <w:szCs w:val="24"/>
        </w:rPr>
      </w:pPr>
    </w:p>
    <w:p w:rsidR="004B5535" w:rsidRPr="00B92503" w:rsidRDefault="004B5535" w:rsidP="00B92503">
      <w:pPr>
        <w:rPr>
          <w:rFonts w:cs="Arial"/>
          <w:szCs w:val="24"/>
        </w:rPr>
      </w:pPr>
      <w:r w:rsidRPr="00B92503">
        <w:rPr>
          <w:rFonts w:cs="Arial"/>
          <w:szCs w:val="24"/>
        </w:rPr>
        <w:t>Finding affordable housing in a community is particularly difficult for people with mental disabilities, which is also due to the generally very difficult housing market in Luxembourg.</w:t>
      </w:r>
      <w:r w:rsidRPr="00B92503">
        <w:rPr>
          <w:rStyle w:val="FootnoteReference"/>
          <w:rFonts w:cs="Arial"/>
          <w:sz w:val="24"/>
          <w:szCs w:val="24"/>
        </w:rPr>
        <w:footnoteReference w:id="109"/>
      </w:r>
    </w:p>
    <w:p w:rsidR="004E2C5E" w:rsidRPr="00B92503" w:rsidRDefault="004E2C5E" w:rsidP="00B92503">
      <w:pPr>
        <w:rPr>
          <w:rFonts w:cs="Arial"/>
          <w:szCs w:val="24"/>
        </w:rPr>
      </w:pPr>
    </w:p>
    <w:p w:rsidR="00191463" w:rsidRPr="00B92503" w:rsidRDefault="008E4ACD" w:rsidP="005C6E68">
      <w:pPr>
        <w:pStyle w:val="Heading1"/>
      </w:pPr>
      <w:bookmarkStart w:id="102" w:name="_TOC_250000"/>
      <w:bookmarkStart w:id="103" w:name="_Toc529874088"/>
      <w:bookmarkStart w:id="104" w:name="_Toc7612984"/>
      <w:bookmarkEnd w:id="102"/>
      <w:r w:rsidRPr="00B92503">
        <w:t>Recommendations</w:t>
      </w:r>
      <w:bookmarkEnd w:id="103"/>
      <w:bookmarkEnd w:id="104"/>
    </w:p>
    <w:p w:rsidR="005C6E68" w:rsidRDefault="005C6E68" w:rsidP="00B92503">
      <w:pPr>
        <w:rPr>
          <w:rFonts w:cs="Arial"/>
          <w:szCs w:val="24"/>
        </w:rPr>
      </w:pPr>
    </w:p>
    <w:p w:rsidR="00B01087" w:rsidRPr="00B92503" w:rsidRDefault="00B01087" w:rsidP="00B92503">
      <w:pPr>
        <w:rPr>
          <w:rFonts w:cs="Arial"/>
          <w:szCs w:val="24"/>
        </w:rPr>
      </w:pPr>
      <w:r w:rsidRPr="00B92503">
        <w:rPr>
          <w:rFonts w:cs="Arial"/>
          <w:szCs w:val="24"/>
        </w:rPr>
        <w:t xml:space="preserve">A comprehensive definition of persons with disabilities should be introduced, which does not, as in the past, only refer to school performance deficits or restrictions on the </w:t>
      </w:r>
      <w:r w:rsidRPr="00B92503">
        <w:rPr>
          <w:rFonts w:cs="Arial"/>
          <w:szCs w:val="24"/>
        </w:rPr>
        <w:lastRenderedPageBreak/>
        <w:t>ability to work or the need for long-term care</w:t>
      </w:r>
      <w:r w:rsidR="00C10140" w:rsidRPr="00B92503">
        <w:rPr>
          <w:rFonts w:cs="Arial"/>
          <w:szCs w:val="24"/>
        </w:rPr>
        <w:t xml:space="preserve"> (in old age</w:t>
      </w:r>
      <w:proofErr w:type="gramStart"/>
      <w:r w:rsidR="00C10140" w:rsidRPr="00B92503">
        <w:rPr>
          <w:rFonts w:cs="Arial"/>
          <w:szCs w:val="24"/>
        </w:rPr>
        <w:t>)</w:t>
      </w:r>
      <w:r w:rsidRPr="00B92503">
        <w:rPr>
          <w:rFonts w:cs="Arial"/>
          <w:szCs w:val="24"/>
        </w:rPr>
        <w:t>, but</w:t>
      </w:r>
      <w:proofErr w:type="gramEnd"/>
      <w:r w:rsidRPr="00B92503">
        <w:rPr>
          <w:rFonts w:cs="Arial"/>
          <w:szCs w:val="24"/>
        </w:rPr>
        <w:t xml:space="preserve"> considers the whole person independently of predetermined performance standards.</w:t>
      </w:r>
    </w:p>
    <w:p w:rsidR="00D12A3B" w:rsidRPr="00B92503" w:rsidRDefault="00D12A3B" w:rsidP="00B92503">
      <w:pPr>
        <w:pStyle w:val="BodyText"/>
        <w:ind w:left="221" w:right="350"/>
      </w:pPr>
    </w:p>
    <w:p w:rsidR="00885DC5" w:rsidRPr="00B92503" w:rsidRDefault="00B01087" w:rsidP="00B92503">
      <w:pPr>
        <w:rPr>
          <w:rFonts w:cs="Arial"/>
          <w:szCs w:val="24"/>
        </w:rPr>
      </w:pPr>
      <w:r w:rsidRPr="00B92503">
        <w:rPr>
          <w:rFonts w:cs="Arial"/>
          <w:szCs w:val="24"/>
        </w:rPr>
        <w:t>The a</w:t>
      </w:r>
      <w:r w:rsidR="00885DC5" w:rsidRPr="00B92503">
        <w:rPr>
          <w:rFonts w:cs="Arial"/>
          <w:szCs w:val="24"/>
        </w:rPr>
        <w:t>bolition of the existing guardianship system and establishing of a more flexible and individualised system of protection</w:t>
      </w:r>
      <w:r w:rsidR="00C62606" w:rsidRPr="00B92503">
        <w:rPr>
          <w:rFonts w:cs="Arial"/>
          <w:szCs w:val="24"/>
        </w:rPr>
        <w:t xml:space="preserve"> in favour of persons with disabilities</w:t>
      </w:r>
      <w:r w:rsidR="00885DC5" w:rsidRPr="00B92503">
        <w:rPr>
          <w:rFonts w:cs="Arial"/>
          <w:szCs w:val="24"/>
        </w:rPr>
        <w:t>.</w:t>
      </w:r>
      <w:r w:rsidR="008800CC" w:rsidRPr="00B92503">
        <w:rPr>
          <w:rFonts w:cs="Arial"/>
          <w:szCs w:val="24"/>
        </w:rPr>
        <w:t xml:space="preserve"> The Ministry of Family Affaires (2012, 46) acknowledges that the legal situation at present is not in line with the ethos of the UN-CRPD. </w:t>
      </w:r>
      <w:r w:rsidR="00256857">
        <w:rPr>
          <w:rFonts w:cs="Arial"/>
          <w:szCs w:val="24"/>
        </w:rPr>
        <w:t>“</w:t>
      </w:r>
      <w:r w:rsidR="008800CC" w:rsidRPr="00B92503">
        <w:rPr>
          <w:rFonts w:cs="Arial"/>
          <w:i/>
          <w:szCs w:val="24"/>
        </w:rPr>
        <w:t>On reading the CRPD, it appears that the guardianship measure is irreconcilable with the concept of strict proportionality enshrined in Article 12 of the CRPD</w:t>
      </w:r>
      <w:r w:rsidR="008800CC" w:rsidRPr="00B92503">
        <w:rPr>
          <w:rFonts w:cs="Arial"/>
          <w:szCs w:val="24"/>
        </w:rPr>
        <w:t>.”</w:t>
      </w:r>
      <w:r w:rsidR="008800CC" w:rsidRPr="00B92503">
        <w:rPr>
          <w:rStyle w:val="FootnoteReference"/>
          <w:rFonts w:cs="Arial"/>
          <w:sz w:val="24"/>
          <w:szCs w:val="24"/>
        </w:rPr>
        <w:footnoteReference w:id="110"/>
      </w:r>
      <w:r w:rsidR="004426AC" w:rsidRPr="00B92503">
        <w:rPr>
          <w:rFonts w:cs="Arial"/>
          <w:szCs w:val="24"/>
        </w:rPr>
        <w:t xml:space="preserve"> A support law tailored to the individual situation should be introduced, which </w:t>
      </w:r>
      <w:proofErr w:type="gramStart"/>
      <w:r w:rsidR="004426AC" w:rsidRPr="00B92503">
        <w:rPr>
          <w:rFonts w:cs="Arial"/>
          <w:szCs w:val="24"/>
        </w:rPr>
        <w:t>in particular does</w:t>
      </w:r>
      <w:proofErr w:type="gramEnd"/>
      <w:r w:rsidR="004426AC" w:rsidRPr="00B92503">
        <w:rPr>
          <w:rFonts w:cs="Arial"/>
          <w:szCs w:val="24"/>
        </w:rPr>
        <w:t xml:space="preserve"> not make participation in community life dependent on the decision of the guardian.</w:t>
      </w:r>
    </w:p>
    <w:p w:rsidR="00D12A3B" w:rsidRPr="00B92503" w:rsidRDefault="00D12A3B" w:rsidP="00B92503">
      <w:pPr>
        <w:ind w:left="221" w:right="349"/>
        <w:rPr>
          <w:rFonts w:cs="Arial"/>
          <w:szCs w:val="24"/>
        </w:rPr>
      </w:pPr>
    </w:p>
    <w:p w:rsidR="0018674E" w:rsidRPr="00B92503" w:rsidRDefault="00C62606" w:rsidP="00B92503">
      <w:pPr>
        <w:rPr>
          <w:rFonts w:cs="Arial"/>
          <w:szCs w:val="24"/>
        </w:rPr>
      </w:pPr>
      <w:r w:rsidRPr="00B92503">
        <w:rPr>
          <w:rFonts w:cs="Arial"/>
          <w:szCs w:val="24"/>
        </w:rPr>
        <w:t xml:space="preserve">The introduction of a national disability commissioner who can </w:t>
      </w:r>
      <w:proofErr w:type="gramStart"/>
      <w:r w:rsidRPr="00B92503">
        <w:rPr>
          <w:rFonts w:cs="Arial"/>
          <w:szCs w:val="24"/>
        </w:rPr>
        <w:t>take action</w:t>
      </w:r>
      <w:proofErr w:type="gramEnd"/>
      <w:r w:rsidRPr="00B92503">
        <w:rPr>
          <w:rFonts w:cs="Arial"/>
          <w:szCs w:val="24"/>
        </w:rPr>
        <w:t xml:space="preserve"> in cases of maladministration and coordinate action.</w:t>
      </w:r>
      <w:r w:rsidR="0018674E" w:rsidRPr="00B92503">
        <w:rPr>
          <w:rFonts w:cs="Arial"/>
          <w:szCs w:val="24"/>
        </w:rPr>
        <w:t xml:space="preserve"> For several years now, people with disabilities and their respective organisations have been calling for the introduction of the post of a disabled person's representative, who can influence - on an equal footing with the ministerial administrations - the coherence in terms of time and content of measures relating to participation or inclusion.</w:t>
      </w:r>
      <w:r w:rsidR="002E07AD" w:rsidRPr="00B92503">
        <w:rPr>
          <w:rStyle w:val="FootnoteReference"/>
          <w:rFonts w:cs="Arial"/>
          <w:sz w:val="24"/>
          <w:szCs w:val="24"/>
        </w:rPr>
        <w:footnoteReference w:id="111"/>
      </w:r>
      <w:r w:rsidR="00940353" w:rsidRPr="00B92503">
        <w:rPr>
          <w:rFonts w:cs="Arial"/>
          <w:szCs w:val="24"/>
        </w:rPr>
        <w:t xml:space="preserve"> An inclusion and specific needs department should be responsible for defining existing requests in relation to disability and </w:t>
      </w:r>
      <w:r w:rsidR="00B01087" w:rsidRPr="00B92503">
        <w:rPr>
          <w:rFonts w:cs="Arial"/>
          <w:szCs w:val="24"/>
        </w:rPr>
        <w:t>should be empowered to take legal action.</w:t>
      </w:r>
    </w:p>
    <w:p w:rsidR="000B40F0" w:rsidRPr="00B92503" w:rsidRDefault="000B40F0" w:rsidP="00B92503">
      <w:pPr>
        <w:rPr>
          <w:rFonts w:cs="Arial"/>
          <w:szCs w:val="24"/>
        </w:rPr>
      </w:pPr>
    </w:p>
    <w:p w:rsidR="002E07AD" w:rsidRPr="00B92503" w:rsidRDefault="002E07AD" w:rsidP="00B92503">
      <w:pPr>
        <w:rPr>
          <w:rFonts w:cs="Arial"/>
          <w:szCs w:val="24"/>
        </w:rPr>
      </w:pPr>
      <w:r w:rsidRPr="00B92503">
        <w:rPr>
          <w:rFonts w:cs="Arial"/>
          <w:szCs w:val="24"/>
        </w:rPr>
        <w:t>The legal requirements for the implementation of accessibility must be tightened up. The current law does not provide for systematic monitoring or sanctions for non-compliance. Institutions that do not adhere to the regulations should be set definite deadlines and sanctions should go as far as the withdrawal of the operating licence in the event of persistent non-compliance.</w:t>
      </w:r>
      <w:r w:rsidR="00ED7992" w:rsidRPr="00B92503">
        <w:rPr>
          <w:rStyle w:val="FootnoteReference"/>
          <w:rFonts w:cs="Arial"/>
          <w:sz w:val="24"/>
          <w:szCs w:val="24"/>
        </w:rPr>
        <w:footnoteReference w:id="112"/>
      </w:r>
      <w:r w:rsidR="00B01087" w:rsidRPr="00B92503">
        <w:rPr>
          <w:rFonts w:cs="Arial"/>
          <w:szCs w:val="24"/>
        </w:rPr>
        <w:t xml:space="preserve"> Particularly in higher education, the existing inadequate accessibility and complete suppression of student life must be overcome when discussing the inclusion of students with disabilities.</w:t>
      </w:r>
    </w:p>
    <w:p w:rsidR="000B40F0" w:rsidRPr="00B92503" w:rsidRDefault="000B40F0" w:rsidP="00B92503">
      <w:pPr>
        <w:rPr>
          <w:rFonts w:cs="Arial"/>
          <w:szCs w:val="24"/>
        </w:rPr>
      </w:pPr>
    </w:p>
    <w:p w:rsidR="003E354B" w:rsidRPr="00B92503" w:rsidRDefault="003E354B" w:rsidP="00B92503">
      <w:pPr>
        <w:rPr>
          <w:rFonts w:cs="Arial"/>
          <w:szCs w:val="24"/>
        </w:rPr>
      </w:pPr>
      <w:r w:rsidRPr="00B92503">
        <w:rPr>
          <w:rFonts w:cs="Arial"/>
          <w:szCs w:val="24"/>
        </w:rPr>
        <w:br w:type="page"/>
      </w:r>
    </w:p>
    <w:p w:rsidR="003E354B" w:rsidRPr="00B92503" w:rsidRDefault="003E354B" w:rsidP="005C6E68">
      <w:pPr>
        <w:pStyle w:val="Heading1"/>
        <w:numPr>
          <w:ilvl w:val="0"/>
          <w:numId w:val="0"/>
        </w:numPr>
        <w:ind w:left="567" w:hanging="567"/>
      </w:pPr>
      <w:bookmarkStart w:id="105" w:name="_Toc7612985"/>
      <w:r w:rsidRPr="00B92503">
        <w:lastRenderedPageBreak/>
        <w:t>APPENDIX</w:t>
      </w:r>
      <w:bookmarkEnd w:id="105"/>
    </w:p>
    <w:p w:rsidR="003E354B" w:rsidRPr="00B92503" w:rsidRDefault="003E354B" w:rsidP="00B92503">
      <w:pPr>
        <w:rPr>
          <w:rFonts w:cs="Arial"/>
          <w:szCs w:val="24"/>
        </w:rPr>
      </w:pPr>
    </w:p>
    <w:p w:rsidR="003E354B" w:rsidRPr="00B92503" w:rsidRDefault="003E354B" w:rsidP="00B92503">
      <w:pPr>
        <w:rPr>
          <w:rFonts w:cs="Arial"/>
          <w:szCs w:val="24"/>
        </w:rPr>
      </w:pPr>
      <w:r w:rsidRPr="00B92503">
        <w:rPr>
          <w:rFonts w:cs="Arial"/>
          <w:b/>
          <w:szCs w:val="24"/>
        </w:rPr>
        <w:t>Figure 3</w:t>
      </w:r>
      <w:r w:rsidRPr="00B92503">
        <w:rPr>
          <w:rFonts w:cs="Arial"/>
          <w:szCs w:val="24"/>
        </w:rPr>
        <w:t>: National number of beds in nursing and residential care facilities per 1</w:t>
      </w:r>
      <w:r w:rsidR="005C6E68">
        <w:rPr>
          <w:rFonts w:cs="Arial"/>
          <w:szCs w:val="24"/>
        </w:rPr>
        <w:t>,</w:t>
      </w:r>
      <w:r w:rsidRPr="00B92503">
        <w:rPr>
          <w:rFonts w:cs="Arial"/>
          <w:szCs w:val="24"/>
        </w:rPr>
        <w:t>000 inhabitants and per 1</w:t>
      </w:r>
      <w:r w:rsidR="005C6E68">
        <w:rPr>
          <w:rFonts w:cs="Arial"/>
          <w:szCs w:val="24"/>
        </w:rPr>
        <w:t>,</w:t>
      </w:r>
      <w:r w:rsidRPr="00B92503">
        <w:rPr>
          <w:rFonts w:cs="Arial"/>
          <w:szCs w:val="24"/>
        </w:rPr>
        <w:t xml:space="preserve">000 inhabitants aged 65 or older </w:t>
      </w:r>
    </w:p>
    <w:p w:rsidR="003E354B" w:rsidRPr="00B92503" w:rsidRDefault="003E354B" w:rsidP="00B92503">
      <w:pPr>
        <w:rPr>
          <w:rFonts w:cs="Arial"/>
          <w:szCs w:val="24"/>
        </w:rPr>
      </w:pPr>
    </w:p>
    <w:p w:rsidR="003E354B" w:rsidRPr="00B92503" w:rsidRDefault="000B40F0" w:rsidP="00B92503">
      <w:pPr>
        <w:rPr>
          <w:rFonts w:cs="Arial"/>
          <w:szCs w:val="24"/>
        </w:rPr>
      </w:pPr>
      <w:r w:rsidRPr="00B92503">
        <w:rPr>
          <w:rFonts w:cs="Arial"/>
          <w:noProof/>
          <w:szCs w:val="24"/>
          <w:lang w:eastAsia="en-IE"/>
        </w:rPr>
        <w:drawing>
          <wp:anchor distT="0" distB="0" distL="0" distR="0" simplePos="0" relativeHeight="251741184" behindDoc="0" locked="0" layoutInCell="1" allowOverlap="1" wp14:anchorId="2E458058" wp14:editId="3B59810B">
            <wp:simplePos x="0" y="0"/>
            <wp:positionH relativeFrom="page">
              <wp:posOffset>762000</wp:posOffset>
            </wp:positionH>
            <wp:positionV relativeFrom="paragraph">
              <wp:posOffset>171450</wp:posOffset>
            </wp:positionV>
            <wp:extent cx="5534661" cy="2822829"/>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5534661" cy="2822829"/>
                    </a:xfrm>
                    <a:prstGeom prst="rect">
                      <a:avLst/>
                    </a:prstGeom>
                  </pic:spPr>
                </pic:pic>
              </a:graphicData>
            </a:graphic>
          </wp:anchor>
        </w:drawing>
      </w:r>
      <w:r w:rsidR="003E354B" w:rsidRPr="00B92503">
        <w:rPr>
          <w:rFonts w:cs="Arial"/>
          <w:szCs w:val="24"/>
        </w:rPr>
        <w:t>Source: Authors' own presentation based on OECD data</w:t>
      </w:r>
      <w:r w:rsidR="003E354B" w:rsidRPr="00B92503">
        <w:rPr>
          <w:rStyle w:val="FootnoteReference"/>
          <w:rFonts w:cs="Arial"/>
          <w:sz w:val="24"/>
          <w:szCs w:val="24"/>
        </w:rPr>
        <w:footnoteReference w:id="113"/>
      </w:r>
    </w:p>
    <w:p w:rsidR="003E354B" w:rsidRPr="00B92503" w:rsidRDefault="003E354B" w:rsidP="00B92503">
      <w:pPr>
        <w:rPr>
          <w:rFonts w:cs="Arial"/>
          <w:szCs w:val="24"/>
        </w:rPr>
      </w:pPr>
    </w:p>
    <w:p w:rsidR="003E354B" w:rsidRPr="00B92503" w:rsidRDefault="00E1309A" w:rsidP="00B92503">
      <w:pPr>
        <w:rPr>
          <w:rFonts w:cs="Arial"/>
          <w:szCs w:val="24"/>
        </w:rPr>
      </w:pPr>
      <w:r w:rsidRPr="00B92503">
        <w:rPr>
          <w:rFonts w:cs="Arial"/>
          <w:noProof/>
          <w:szCs w:val="24"/>
          <w:lang w:eastAsia="en-IE"/>
        </w:rPr>
        <w:drawing>
          <wp:anchor distT="0" distB="0" distL="0" distR="0" simplePos="0" relativeHeight="251720704" behindDoc="0" locked="0" layoutInCell="1" allowOverlap="1" wp14:anchorId="0FC514EF" wp14:editId="16C0C262">
            <wp:simplePos x="0" y="0"/>
            <wp:positionH relativeFrom="page">
              <wp:posOffset>915326</wp:posOffset>
            </wp:positionH>
            <wp:positionV relativeFrom="paragraph">
              <wp:posOffset>384456</wp:posOffset>
            </wp:positionV>
            <wp:extent cx="5694989" cy="2669667"/>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5694989" cy="2669667"/>
                    </a:xfrm>
                    <a:prstGeom prst="rect">
                      <a:avLst/>
                    </a:prstGeom>
                  </pic:spPr>
                </pic:pic>
              </a:graphicData>
            </a:graphic>
          </wp:anchor>
        </w:drawing>
      </w:r>
      <w:r w:rsidR="003E354B" w:rsidRPr="00B92503">
        <w:rPr>
          <w:rFonts w:cs="Arial"/>
          <w:b/>
          <w:szCs w:val="24"/>
        </w:rPr>
        <w:t>Figure 4:</w:t>
      </w:r>
      <w:r w:rsidR="003E354B" w:rsidRPr="00B92503">
        <w:rPr>
          <w:rFonts w:cs="Arial"/>
          <w:szCs w:val="24"/>
        </w:rPr>
        <w:t xml:space="preserve"> Men and women receiving formal (paid) long-term care (LTC) in institutions (other than hospitals) or at home</w:t>
      </w:r>
    </w:p>
    <w:p w:rsidR="003E354B" w:rsidRPr="00B92503" w:rsidRDefault="003E354B" w:rsidP="00B92503">
      <w:pPr>
        <w:rPr>
          <w:rFonts w:cs="Arial"/>
          <w:szCs w:val="24"/>
        </w:rPr>
      </w:pPr>
      <w:r w:rsidRPr="00B92503">
        <w:rPr>
          <w:rFonts w:cs="Arial"/>
          <w:szCs w:val="24"/>
        </w:rPr>
        <w:t>Source: Authors' own presentation based on OECD data `</w:t>
      </w:r>
      <w:r w:rsidRPr="00B92503">
        <w:rPr>
          <w:rFonts w:cs="Arial"/>
          <w:i/>
          <w:szCs w:val="24"/>
        </w:rPr>
        <w:t>long-term care recipients`</w:t>
      </w:r>
      <w:r w:rsidRPr="00B92503">
        <w:rPr>
          <w:rStyle w:val="FootnoteReference"/>
          <w:rFonts w:cs="Arial"/>
          <w:sz w:val="24"/>
          <w:szCs w:val="24"/>
        </w:rPr>
        <w:footnoteReference w:id="114"/>
      </w:r>
      <w:r w:rsidRPr="00B92503">
        <w:rPr>
          <w:rFonts w:cs="Arial"/>
          <w:szCs w:val="24"/>
        </w:rPr>
        <w:t xml:space="preserve"> </w:t>
      </w:r>
    </w:p>
    <w:p w:rsidR="004814E9" w:rsidRPr="00B92503" w:rsidRDefault="004814E9" w:rsidP="00B92503">
      <w:pPr>
        <w:rPr>
          <w:rFonts w:cs="Arial"/>
          <w:szCs w:val="24"/>
        </w:rPr>
      </w:pPr>
      <w:r w:rsidRPr="00B92503">
        <w:rPr>
          <w:rFonts w:cs="Arial"/>
          <w:b/>
          <w:szCs w:val="24"/>
        </w:rPr>
        <w:lastRenderedPageBreak/>
        <w:t>Figure 5:</w:t>
      </w:r>
      <w:r w:rsidRPr="00B92503">
        <w:rPr>
          <w:rFonts w:cs="Arial"/>
          <w:szCs w:val="24"/>
        </w:rPr>
        <w:t xml:space="preserve"> long-term care recipients (LTC) in institutions or at home, broken down by age group (per 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701"/>
        <w:gridCol w:w="2409"/>
        <w:gridCol w:w="2127"/>
      </w:tblGrid>
      <w:tr w:rsidR="001D0450" w:rsidRPr="00B92503" w:rsidTr="005C6E68">
        <w:tc>
          <w:tcPr>
            <w:tcW w:w="2689" w:type="dxa"/>
            <w:tcBorders>
              <w:top w:val="single" w:sz="4" w:space="0" w:color="auto"/>
              <w:left w:val="single" w:sz="4" w:space="0" w:color="auto"/>
              <w:bottom w:val="single" w:sz="4" w:space="0" w:color="auto"/>
            </w:tcBorders>
            <w:shd w:val="clear" w:color="auto" w:fill="auto"/>
            <w:vAlign w:val="center"/>
          </w:tcPr>
          <w:p w:rsidR="004814E9" w:rsidRPr="00B92503" w:rsidRDefault="004814E9" w:rsidP="00B92503">
            <w:pPr>
              <w:jc w:val="center"/>
              <w:rPr>
                <w:rFonts w:cs="Arial"/>
                <w:b/>
                <w:szCs w:val="24"/>
              </w:rPr>
            </w:pPr>
            <w:r w:rsidRPr="00B92503">
              <w:rPr>
                <w:rFonts w:cs="Arial"/>
                <w:b/>
                <w:szCs w:val="24"/>
              </w:rPr>
              <w:t>LTC recipients 2016</w:t>
            </w:r>
          </w:p>
        </w:tc>
        <w:tc>
          <w:tcPr>
            <w:tcW w:w="1701" w:type="dxa"/>
            <w:tcBorders>
              <w:top w:val="single" w:sz="4" w:space="0" w:color="auto"/>
              <w:bottom w:val="single" w:sz="4" w:space="0" w:color="auto"/>
            </w:tcBorders>
            <w:shd w:val="clear" w:color="auto" w:fill="auto"/>
            <w:vAlign w:val="center"/>
          </w:tcPr>
          <w:p w:rsidR="004814E9" w:rsidRPr="00B92503" w:rsidRDefault="004814E9" w:rsidP="00B92503">
            <w:pPr>
              <w:jc w:val="center"/>
              <w:rPr>
                <w:rFonts w:cs="Arial"/>
                <w:b/>
                <w:szCs w:val="24"/>
              </w:rPr>
            </w:pPr>
            <w:r w:rsidRPr="00B92503">
              <w:rPr>
                <w:rFonts w:cs="Arial"/>
                <w:b/>
                <w:szCs w:val="24"/>
              </w:rPr>
              <w:t>Age group</w:t>
            </w:r>
          </w:p>
        </w:tc>
        <w:tc>
          <w:tcPr>
            <w:tcW w:w="2409" w:type="dxa"/>
            <w:tcBorders>
              <w:top w:val="single" w:sz="4" w:space="0" w:color="auto"/>
              <w:bottom w:val="single" w:sz="4" w:space="0" w:color="auto"/>
            </w:tcBorders>
            <w:shd w:val="clear" w:color="auto" w:fill="auto"/>
            <w:vAlign w:val="center"/>
          </w:tcPr>
          <w:p w:rsidR="004814E9" w:rsidRPr="00B92503" w:rsidRDefault="004814E9" w:rsidP="005C6E68">
            <w:pPr>
              <w:jc w:val="right"/>
              <w:rPr>
                <w:rFonts w:cs="Arial"/>
                <w:b/>
                <w:szCs w:val="24"/>
              </w:rPr>
            </w:pPr>
            <w:r w:rsidRPr="00B92503">
              <w:rPr>
                <w:rFonts w:cs="Arial"/>
                <w:b/>
                <w:szCs w:val="24"/>
              </w:rPr>
              <w:t xml:space="preserve">In institutions </w:t>
            </w:r>
            <w:r w:rsidR="005C6E68">
              <w:rPr>
                <w:rFonts w:cs="Arial"/>
                <w:b/>
                <w:szCs w:val="24"/>
              </w:rPr>
              <w:t>%</w:t>
            </w:r>
          </w:p>
        </w:tc>
        <w:tc>
          <w:tcPr>
            <w:tcW w:w="2127" w:type="dxa"/>
            <w:tcBorders>
              <w:top w:val="single" w:sz="4" w:space="0" w:color="auto"/>
              <w:bottom w:val="single" w:sz="4" w:space="0" w:color="auto"/>
              <w:right w:val="single" w:sz="4" w:space="0" w:color="auto"/>
            </w:tcBorders>
            <w:shd w:val="clear" w:color="auto" w:fill="auto"/>
            <w:vAlign w:val="center"/>
          </w:tcPr>
          <w:p w:rsidR="004814E9" w:rsidRPr="00B92503" w:rsidRDefault="004814E9" w:rsidP="005C6E68">
            <w:pPr>
              <w:jc w:val="right"/>
              <w:rPr>
                <w:rFonts w:eastAsia="Calibri" w:cs="Arial"/>
                <w:b/>
                <w:szCs w:val="24"/>
              </w:rPr>
            </w:pPr>
            <w:r w:rsidRPr="00B92503">
              <w:rPr>
                <w:rFonts w:cs="Arial"/>
                <w:b/>
                <w:szCs w:val="24"/>
              </w:rPr>
              <w:t xml:space="preserve">At home </w:t>
            </w:r>
            <w:r w:rsidR="005C6E68">
              <w:rPr>
                <w:rFonts w:cs="Arial"/>
                <w:b/>
                <w:szCs w:val="24"/>
              </w:rPr>
              <w:t>%</w:t>
            </w:r>
          </w:p>
        </w:tc>
      </w:tr>
      <w:tr w:rsidR="001D0450" w:rsidRPr="00B92503" w:rsidTr="005C6E68">
        <w:tc>
          <w:tcPr>
            <w:tcW w:w="2689" w:type="dxa"/>
            <w:vMerge w:val="restart"/>
            <w:tcBorders>
              <w:top w:val="single" w:sz="4" w:space="0" w:color="auto"/>
            </w:tcBorders>
            <w:shd w:val="clear" w:color="auto" w:fill="auto"/>
            <w:vAlign w:val="center"/>
          </w:tcPr>
          <w:p w:rsidR="004814E9" w:rsidRPr="00B92503" w:rsidRDefault="004814E9" w:rsidP="00B92503">
            <w:pPr>
              <w:jc w:val="center"/>
              <w:rPr>
                <w:rFonts w:eastAsia="Calibri" w:cs="Arial"/>
                <w:szCs w:val="24"/>
              </w:rPr>
            </w:pPr>
            <w:r w:rsidRPr="00B92503">
              <w:rPr>
                <w:rFonts w:eastAsia="Calibri" w:cs="Arial"/>
                <w:szCs w:val="24"/>
              </w:rPr>
              <w:t>Female</w:t>
            </w:r>
          </w:p>
        </w:tc>
        <w:tc>
          <w:tcPr>
            <w:tcW w:w="1701" w:type="dxa"/>
            <w:tcBorders>
              <w:top w:val="single" w:sz="4" w:space="0" w:color="auto"/>
            </w:tcBorders>
            <w:shd w:val="clear" w:color="auto" w:fill="auto"/>
            <w:vAlign w:val="center"/>
          </w:tcPr>
          <w:p w:rsidR="004814E9" w:rsidRPr="00B92503" w:rsidRDefault="004814E9" w:rsidP="00B92503">
            <w:pPr>
              <w:jc w:val="center"/>
              <w:rPr>
                <w:rFonts w:eastAsia="Calibri" w:cs="Arial"/>
                <w:szCs w:val="24"/>
              </w:rPr>
            </w:pPr>
            <w:r w:rsidRPr="00B92503">
              <w:rPr>
                <w:rFonts w:eastAsia="Calibri" w:cs="Arial"/>
                <w:szCs w:val="24"/>
              </w:rPr>
              <w:t>All ages</w:t>
            </w:r>
          </w:p>
        </w:tc>
        <w:tc>
          <w:tcPr>
            <w:tcW w:w="2409" w:type="dxa"/>
            <w:tcBorders>
              <w:top w:val="single" w:sz="4" w:space="0" w:color="auto"/>
            </w:tcBorders>
            <w:shd w:val="clear" w:color="auto" w:fill="auto"/>
            <w:vAlign w:val="center"/>
          </w:tcPr>
          <w:p w:rsidR="004814E9" w:rsidRPr="00B92503" w:rsidRDefault="004814E9" w:rsidP="005C6E68">
            <w:pPr>
              <w:jc w:val="right"/>
              <w:rPr>
                <w:rFonts w:eastAsia="Calibri" w:cs="Arial"/>
                <w:szCs w:val="24"/>
              </w:rPr>
            </w:pPr>
            <w:r w:rsidRPr="00B92503">
              <w:rPr>
                <w:rFonts w:eastAsia="Calibri" w:cs="Arial"/>
                <w:szCs w:val="24"/>
              </w:rPr>
              <w:t>1</w:t>
            </w:r>
            <w:r w:rsidR="005C6E68">
              <w:rPr>
                <w:rFonts w:eastAsia="Calibri" w:cs="Arial"/>
                <w:szCs w:val="24"/>
              </w:rPr>
              <w:t>,</w:t>
            </w:r>
            <w:r w:rsidRPr="00B92503">
              <w:rPr>
                <w:rFonts w:eastAsia="Calibri" w:cs="Arial"/>
                <w:szCs w:val="24"/>
              </w:rPr>
              <w:t>2</w:t>
            </w:r>
          </w:p>
        </w:tc>
        <w:tc>
          <w:tcPr>
            <w:tcW w:w="2127" w:type="dxa"/>
            <w:tcBorders>
              <w:top w:val="single" w:sz="4" w:space="0" w:color="auto"/>
            </w:tcBorders>
            <w:shd w:val="clear" w:color="auto" w:fill="auto"/>
            <w:vAlign w:val="center"/>
          </w:tcPr>
          <w:p w:rsidR="004814E9" w:rsidRPr="00B92503" w:rsidRDefault="004814E9" w:rsidP="005C6E68">
            <w:pPr>
              <w:jc w:val="right"/>
              <w:rPr>
                <w:rFonts w:eastAsia="Calibri" w:cs="Arial"/>
                <w:szCs w:val="24"/>
              </w:rPr>
            </w:pPr>
            <w:r w:rsidRPr="00B92503">
              <w:rPr>
                <w:rFonts w:eastAsia="Calibri" w:cs="Arial"/>
                <w:szCs w:val="24"/>
              </w:rPr>
              <w:t>1</w:t>
            </w:r>
            <w:r w:rsidR="005C6E68">
              <w:rPr>
                <w:rFonts w:eastAsia="Calibri" w:cs="Arial"/>
                <w:szCs w:val="24"/>
              </w:rPr>
              <w:t>,</w:t>
            </w:r>
            <w:r w:rsidRPr="00B92503">
              <w:rPr>
                <w:rFonts w:eastAsia="Calibri" w:cs="Arial"/>
                <w:szCs w:val="24"/>
              </w:rPr>
              <w:t>8</w:t>
            </w:r>
          </w:p>
        </w:tc>
      </w:tr>
      <w:tr w:rsidR="001D0450" w:rsidRPr="00B92503" w:rsidTr="005C6E68">
        <w:tc>
          <w:tcPr>
            <w:tcW w:w="2689" w:type="dxa"/>
            <w:vMerge/>
            <w:shd w:val="clear" w:color="auto" w:fill="auto"/>
            <w:vAlign w:val="center"/>
          </w:tcPr>
          <w:p w:rsidR="004814E9" w:rsidRPr="00B92503" w:rsidRDefault="004814E9" w:rsidP="00B92503">
            <w:pPr>
              <w:jc w:val="center"/>
              <w:rPr>
                <w:rFonts w:eastAsia="Calibri" w:cs="Arial"/>
                <w:szCs w:val="24"/>
              </w:rPr>
            </w:pPr>
          </w:p>
        </w:tc>
        <w:tc>
          <w:tcPr>
            <w:tcW w:w="1701" w:type="dxa"/>
            <w:shd w:val="clear" w:color="auto" w:fill="auto"/>
            <w:vAlign w:val="center"/>
          </w:tcPr>
          <w:p w:rsidR="004814E9" w:rsidRPr="00B92503" w:rsidRDefault="004814E9" w:rsidP="00B92503">
            <w:pPr>
              <w:jc w:val="center"/>
              <w:rPr>
                <w:rFonts w:eastAsia="Calibri" w:cs="Arial"/>
                <w:szCs w:val="24"/>
              </w:rPr>
            </w:pPr>
            <w:r w:rsidRPr="00B92503">
              <w:rPr>
                <w:rFonts w:eastAsia="Calibri" w:cs="Arial"/>
                <w:szCs w:val="24"/>
              </w:rPr>
              <w:t>65 and over</w:t>
            </w:r>
          </w:p>
        </w:tc>
        <w:tc>
          <w:tcPr>
            <w:tcW w:w="2409" w:type="dxa"/>
            <w:shd w:val="clear" w:color="auto" w:fill="auto"/>
            <w:vAlign w:val="center"/>
          </w:tcPr>
          <w:p w:rsidR="004814E9" w:rsidRPr="00B92503" w:rsidRDefault="004814E9" w:rsidP="005C6E68">
            <w:pPr>
              <w:jc w:val="right"/>
              <w:rPr>
                <w:rFonts w:eastAsia="Calibri" w:cs="Arial"/>
                <w:szCs w:val="24"/>
              </w:rPr>
            </w:pPr>
            <w:r w:rsidRPr="00B92503">
              <w:rPr>
                <w:rFonts w:eastAsia="Calibri" w:cs="Arial"/>
                <w:szCs w:val="24"/>
              </w:rPr>
              <w:t>7</w:t>
            </w:r>
            <w:r w:rsidR="005C6E68">
              <w:rPr>
                <w:rFonts w:eastAsia="Calibri" w:cs="Arial"/>
                <w:szCs w:val="24"/>
              </w:rPr>
              <w:t>,</w:t>
            </w:r>
            <w:r w:rsidRPr="00B92503">
              <w:rPr>
                <w:rFonts w:eastAsia="Calibri" w:cs="Arial"/>
                <w:szCs w:val="24"/>
              </w:rPr>
              <w:t>4</w:t>
            </w:r>
          </w:p>
        </w:tc>
        <w:tc>
          <w:tcPr>
            <w:tcW w:w="2127" w:type="dxa"/>
            <w:shd w:val="clear" w:color="auto" w:fill="auto"/>
            <w:vAlign w:val="center"/>
          </w:tcPr>
          <w:p w:rsidR="004814E9" w:rsidRPr="00B92503" w:rsidRDefault="004814E9" w:rsidP="005C6E68">
            <w:pPr>
              <w:jc w:val="right"/>
              <w:rPr>
                <w:rFonts w:eastAsia="Calibri" w:cs="Arial"/>
                <w:szCs w:val="24"/>
              </w:rPr>
            </w:pPr>
            <w:r w:rsidRPr="00B92503">
              <w:rPr>
                <w:rFonts w:eastAsia="Calibri" w:cs="Arial"/>
                <w:szCs w:val="24"/>
              </w:rPr>
              <w:t>8</w:t>
            </w:r>
            <w:r w:rsidR="005C6E68">
              <w:rPr>
                <w:rFonts w:eastAsia="Calibri" w:cs="Arial"/>
                <w:szCs w:val="24"/>
              </w:rPr>
              <w:t>,</w:t>
            </w:r>
            <w:r w:rsidRPr="00B92503">
              <w:rPr>
                <w:rFonts w:eastAsia="Calibri" w:cs="Arial"/>
                <w:szCs w:val="24"/>
              </w:rPr>
              <w:t>6</w:t>
            </w:r>
          </w:p>
        </w:tc>
      </w:tr>
      <w:tr w:rsidR="001D0450" w:rsidRPr="00B92503" w:rsidTr="005C6E68">
        <w:tc>
          <w:tcPr>
            <w:tcW w:w="2689" w:type="dxa"/>
            <w:vMerge/>
            <w:shd w:val="clear" w:color="auto" w:fill="auto"/>
            <w:vAlign w:val="center"/>
          </w:tcPr>
          <w:p w:rsidR="004814E9" w:rsidRPr="00B92503" w:rsidRDefault="004814E9" w:rsidP="00B92503">
            <w:pPr>
              <w:jc w:val="center"/>
              <w:rPr>
                <w:rFonts w:eastAsia="Calibri" w:cs="Arial"/>
                <w:szCs w:val="24"/>
              </w:rPr>
            </w:pPr>
          </w:p>
        </w:tc>
        <w:tc>
          <w:tcPr>
            <w:tcW w:w="1701" w:type="dxa"/>
            <w:shd w:val="clear" w:color="auto" w:fill="auto"/>
            <w:vAlign w:val="center"/>
          </w:tcPr>
          <w:p w:rsidR="004814E9" w:rsidRPr="00B92503" w:rsidRDefault="004814E9" w:rsidP="00B92503">
            <w:pPr>
              <w:jc w:val="center"/>
              <w:rPr>
                <w:rFonts w:eastAsia="Calibri" w:cs="Arial"/>
                <w:szCs w:val="24"/>
              </w:rPr>
            </w:pPr>
            <w:r w:rsidRPr="00B92503">
              <w:rPr>
                <w:rFonts w:eastAsia="Calibri" w:cs="Arial"/>
                <w:szCs w:val="24"/>
              </w:rPr>
              <w:t>80 and over</w:t>
            </w:r>
          </w:p>
        </w:tc>
        <w:tc>
          <w:tcPr>
            <w:tcW w:w="2409" w:type="dxa"/>
            <w:shd w:val="clear" w:color="auto" w:fill="auto"/>
            <w:vAlign w:val="center"/>
          </w:tcPr>
          <w:p w:rsidR="004814E9" w:rsidRPr="00B92503" w:rsidRDefault="004814E9" w:rsidP="005C6E68">
            <w:pPr>
              <w:jc w:val="right"/>
              <w:rPr>
                <w:rFonts w:eastAsia="Calibri" w:cs="Arial"/>
                <w:szCs w:val="24"/>
              </w:rPr>
            </w:pPr>
            <w:r w:rsidRPr="00B92503">
              <w:rPr>
                <w:rFonts w:eastAsia="Calibri" w:cs="Arial"/>
                <w:szCs w:val="24"/>
              </w:rPr>
              <w:t>19</w:t>
            </w:r>
            <w:r w:rsidR="005C6E68">
              <w:rPr>
                <w:rFonts w:eastAsia="Calibri" w:cs="Arial"/>
                <w:szCs w:val="24"/>
              </w:rPr>
              <w:t>,</w:t>
            </w:r>
            <w:r w:rsidRPr="00B92503">
              <w:rPr>
                <w:rFonts w:eastAsia="Calibri" w:cs="Arial"/>
                <w:szCs w:val="24"/>
              </w:rPr>
              <w:t>9</w:t>
            </w:r>
          </w:p>
        </w:tc>
        <w:tc>
          <w:tcPr>
            <w:tcW w:w="2127" w:type="dxa"/>
            <w:shd w:val="clear" w:color="auto" w:fill="auto"/>
            <w:vAlign w:val="center"/>
          </w:tcPr>
          <w:p w:rsidR="004814E9" w:rsidRPr="00B92503" w:rsidRDefault="004814E9" w:rsidP="005C6E68">
            <w:pPr>
              <w:jc w:val="right"/>
              <w:rPr>
                <w:rFonts w:eastAsia="Calibri" w:cs="Arial"/>
                <w:szCs w:val="24"/>
              </w:rPr>
            </w:pPr>
            <w:r w:rsidRPr="00B92503">
              <w:rPr>
                <w:rFonts w:eastAsia="Calibri" w:cs="Arial"/>
                <w:szCs w:val="24"/>
              </w:rPr>
              <w:t>17</w:t>
            </w:r>
            <w:r w:rsidR="005C6E68">
              <w:rPr>
                <w:rFonts w:eastAsia="Calibri" w:cs="Arial"/>
                <w:szCs w:val="24"/>
              </w:rPr>
              <w:t>,</w:t>
            </w:r>
            <w:r w:rsidRPr="00B92503">
              <w:rPr>
                <w:rFonts w:eastAsia="Calibri" w:cs="Arial"/>
                <w:szCs w:val="24"/>
              </w:rPr>
              <w:t>3</w:t>
            </w:r>
          </w:p>
        </w:tc>
      </w:tr>
      <w:tr w:rsidR="004814E9" w:rsidRPr="00B92503" w:rsidTr="005C6E68">
        <w:tc>
          <w:tcPr>
            <w:tcW w:w="2689" w:type="dxa"/>
            <w:vMerge w:val="restart"/>
            <w:shd w:val="clear" w:color="auto" w:fill="auto"/>
            <w:vAlign w:val="center"/>
          </w:tcPr>
          <w:p w:rsidR="004814E9" w:rsidRPr="00B92503" w:rsidRDefault="004814E9" w:rsidP="00B92503">
            <w:pPr>
              <w:jc w:val="center"/>
              <w:rPr>
                <w:rFonts w:eastAsia="Calibri" w:cs="Arial"/>
                <w:szCs w:val="24"/>
              </w:rPr>
            </w:pPr>
            <w:r w:rsidRPr="00B92503">
              <w:rPr>
                <w:rFonts w:eastAsia="Calibri" w:cs="Arial"/>
                <w:szCs w:val="24"/>
              </w:rPr>
              <w:t>Male</w:t>
            </w:r>
          </w:p>
        </w:tc>
        <w:tc>
          <w:tcPr>
            <w:tcW w:w="1701" w:type="dxa"/>
            <w:shd w:val="clear" w:color="auto" w:fill="auto"/>
            <w:vAlign w:val="center"/>
          </w:tcPr>
          <w:p w:rsidR="004814E9" w:rsidRPr="00B92503" w:rsidRDefault="004814E9" w:rsidP="00B92503">
            <w:pPr>
              <w:jc w:val="center"/>
              <w:rPr>
                <w:rFonts w:eastAsia="Calibri" w:cs="Arial"/>
                <w:szCs w:val="24"/>
              </w:rPr>
            </w:pPr>
            <w:r w:rsidRPr="00B92503">
              <w:rPr>
                <w:rFonts w:eastAsia="Calibri" w:cs="Arial"/>
                <w:szCs w:val="24"/>
              </w:rPr>
              <w:t>All ages</w:t>
            </w:r>
          </w:p>
        </w:tc>
        <w:tc>
          <w:tcPr>
            <w:tcW w:w="2409" w:type="dxa"/>
            <w:shd w:val="clear" w:color="auto" w:fill="auto"/>
            <w:vAlign w:val="center"/>
          </w:tcPr>
          <w:p w:rsidR="004814E9" w:rsidRPr="00B92503" w:rsidRDefault="004814E9" w:rsidP="005C6E68">
            <w:pPr>
              <w:jc w:val="right"/>
              <w:rPr>
                <w:rFonts w:eastAsia="Calibri" w:cs="Arial"/>
                <w:szCs w:val="24"/>
              </w:rPr>
            </w:pPr>
            <w:r w:rsidRPr="00B92503">
              <w:rPr>
                <w:rFonts w:eastAsia="Calibri" w:cs="Arial"/>
                <w:szCs w:val="24"/>
              </w:rPr>
              <w:t>0</w:t>
            </w:r>
            <w:r w:rsidR="005C6E68">
              <w:rPr>
                <w:rFonts w:eastAsia="Calibri" w:cs="Arial"/>
                <w:szCs w:val="24"/>
              </w:rPr>
              <w:t>,</w:t>
            </w:r>
            <w:r w:rsidRPr="00B92503">
              <w:rPr>
                <w:rFonts w:eastAsia="Calibri" w:cs="Arial"/>
                <w:szCs w:val="24"/>
              </w:rPr>
              <w:t>4</w:t>
            </w:r>
          </w:p>
        </w:tc>
        <w:tc>
          <w:tcPr>
            <w:tcW w:w="2127" w:type="dxa"/>
            <w:shd w:val="clear" w:color="auto" w:fill="auto"/>
            <w:vAlign w:val="center"/>
          </w:tcPr>
          <w:p w:rsidR="004814E9" w:rsidRPr="00B92503" w:rsidRDefault="004814E9" w:rsidP="005C6E68">
            <w:pPr>
              <w:jc w:val="right"/>
              <w:rPr>
                <w:rFonts w:eastAsia="Calibri" w:cs="Arial"/>
                <w:szCs w:val="24"/>
              </w:rPr>
            </w:pPr>
            <w:r w:rsidRPr="00B92503">
              <w:rPr>
                <w:rFonts w:eastAsia="Calibri" w:cs="Arial"/>
                <w:szCs w:val="24"/>
              </w:rPr>
              <w:t>1</w:t>
            </w:r>
            <w:r w:rsidR="005C6E68">
              <w:rPr>
                <w:rFonts w:eastAsia="Calibri" w:cs="Arial"/>
                <w:szCs w:val="24"/>
              </w:rPr>
              <w:t>,</w:t>
            </w:r>
            <w:r w:rsidRPr="00B92503">
              <w:rPr>
                <w:rFonts w:eastAsia="Calibri" w:cs="Arial"/>
                <w:szCs w:val="24"/>
              </w:rPr>
              <w:t>3</w:t>
            </w:r>
          </w:p>
        </w:tc>
      </w:tr>
      <w:tr w:rsidR="001D0450" w:rsidRPr="00B92503" w:rsidTr="005C6E68">
        <w:tc>
          <w:tcPr>
            <w:tcW w:w="2689" w:type="dxa"/>
            <w:vMerge/>
            <w:shd w:val="clear" w:color="auto" w:fill="auto"/>
            <w:vAlign w:val="center"/>
          </w:tcPr>
          <w:p w:rsidR="004814E9" w:rsidRPr="00B92503" w:rsidRDefault="004814E9" w:rsidP="00B92503">
            <w:pPr>
              <w:jc w:val="center"/>
              <w:rPr>
                <w:rFonts w:eastAsia="Calibri" w:cs="Arial"/>
                <w:szCs w:val="24"/>
              </w:rPr>
            </w:pPr>
          </w:p>
        </w:tc>
        <w:tc>
          <w:tcPr>
            <w:tcW w:w="1701" w:type="dxa"/>
            <w:shd w:val="clear" w:color="auto" w:fill="auto"/>
            <w:vAlign w:val="center"/>
          </w:tcPr>
          <w:p w:rsidR="004814E9" w:rsidRPr="00B92503" w:rsidRDefault="004814E9" w:rsidP="00B92503">
            <w:pPr>
              <w:jc w:val="center"/>
              <w:rPr>
                <w:rFonts w:eastAsia="Calibri" w:cs="Arial"/>
                <w:szCs w:val="24"/>
              </w:rPr>
            </w:pPr>
            <w:r w:rsidRPr="00B92503">
              <w:rPr>
                <w:rFonts w:eastAsia="Calibri" w:cs="Arial"/>
                <w:szCs w:val="24"/>
              </w:rPr>
              <w:t>65 and over</w:t>
            </w:r>
          </w:p>
        </w:tc>
        <w:tc>
          <w:tcPr>
            <w:tcW w:w="2409" w:type="dxa"/>
            <w:shd w:val="clear" w:color="auto" w:fill="auto"/>
            <w:vAlign w:val="center"/>
          </w:tcPr>
          <w:p w:rsidR="004814E9" w:rsidRPr="00B92503" w:rsidRDefault="004814E9" w:rsidP="005C6E68">
            <w:pPr>
              <w:jc w:val="right"/>
              <w:rPr>
                <w:rFonts w:eastAsia="Calibri" w:cs="Arial"/>
                <w:szCs w:val="24"/>
              </w:rPr>
            </w:pPr>
            <w:r w:rsidRPr="00B92503">
              <w:rPr>
                <w:rFonts w:eastAsia="Calibri" w:cs="Arial"/>
                <w:szCs w:val="24"/>
              </w:rPr>
              <w:t>2</w:t>
            </w:r>
            <w:r w:rsidR="005C6E68">
              <w:rPr>
                <w:rFonts w:eastAsia="Calibri" w:cs="Arial"/>
                <w:szCs w:val="24"/>
              </w:rPr>
              <w:t>,</w:t>
            </w:r>
            <w:r w:rsidRPr="00B92503">
              <w:rPr>
                <w:rFonts w:eastAsia="Calibri" w:cs="Arial"/>
                <w:szCs w:val="24"/>
              </w:rPr>
              <w:t>9</w:t>
            </w:r>
          </w:p>
        </w:tc>
        <w:tc>
          <w:tcPr>
            <w:tcW w:w="2127" w:type="dxa"/>
            <w:shd w:val="clear" w:color="auto" w:fill="auto"/>
            <w:vAlign w:val="center"/>
          </w:tcPr>
          <w:p w:rsidR="004814E9" w:rsidRPr="00B92503" w:rsidRDefault="004814E9" w:rsidP="005C6E68">
            <w:pPr>
              <w:jc w:val="right"/>
              <w:rPr>
                <w:rFonts w:eastAsia="Calibri" w:cs="Arial"/>
                <w:szCs w:val="24"/>
              </w:rPr>
            </w:pPr>
            <w:r w:rsidRPr="00B92503">
              <w:rPr>
                <w:rFonts w:eastAsia="Calibri" w:cs="Arial"/>
                <w:szCs w:val="24"/>
              </w:rPr>
              <w:t>5</w:t>
            </w:r>
            <w:r w:rsidR="005C6E68">
              <w:rPr>
                <w:rFonts w:eastAsia="Calibri" w:cs="Arial"/>
                <w:szCs w:val="24"/>
              </w:rPr>
              <w:t>,</w:t>
            </w:r>
            <w:r w:rsidRPr="00B92503">
              <w:rPr>
                <w:rFonts w:eastAsia="Calibri" w:cs="Arial"/>
                <w:szCs w:val="24"/>
              </w:rPr>
              <w:t>7</w:t>
            </w:r>
          </w:p>
        </w:tc>
      </w:tr>
      <w:tr w:rsidR="001D0450" w:rsidRPr="00B92503" w:rsidTr="005C6E68">
        <w:tc>
          <w:tcPr>
            <w:tcW w:w="2689" w:type="dxa"/>
            <w:vMerge/>
            <w:shd w:val="clear" w:color="auto" w:fill="auto"/>
            <w:vAlign w:val="center"/>
          </w:tcPr>
          <w:p w:rsidR="004814E9" w:rsidRPr="00B92503" w:rsidRDefault="004814E9" w:rsidP="00B92503">
            <w:pPr>
              <w:jc w:val="center"/>
              <w:rPr>
                <w:rFonts w:eastAsia="Calibri" w:cs="Arial"/>
                <w:szCs w:val="24"/>
              </w:rPr>
            </w:pPr>
          </w:p>
        </w:tc>
        <w:tc>
          <w:tcPr>
            <w:tcW w:w="1701" w:type="dxa"/>
            <w:shd w:val="clear" w:color="auto" w:fill="auto"/>
            <w:vAlign w:val="center"/>
          </w:tcPr>
          <w:p w:rsidR="004814E9" w:rsidRPr="00B92503" w:rsidRDefault="004814E9" w:rsidP="00B92503">
            <w:pPr>
              <w:jc w:val="center"/>
              <w:rPr>
                <w:rFonts w:eastAsia="Calibri" w:cs="Arial"/>
                <w:szCs w:val="24"/>
              </w:rPr>
            </w:pPr>
            <w:r w:rsidRPr="00B92503">
              <w:rPr>
                <w:rFonts w:eastAsia="Calibri" w:cs="Arial"/>
                <w:szCs w:val="24"/>
              </w:rPr>
              <w:t>80 and over</w:t>
            </w:r>
          </w:p>
        </w:tc>
        <w:tc>
          <w:tcPr>
            <w:tcW w:w="2409" w:type="dxa"/>
            <w:shd w:val="clear" w:color="auto" w:fill="auto"/>
            <w:vAlign w:val="center"/>
          </w:tcPr>
          <w:p w:rsidR="004814E9" w:rsidRPr="00B92503" w:rsidRDefault="004814E9" w:rsidP="005C6E68">
            <w:pPr>
              <w:jc w:val="right"/>
              <w:rPr>
                <w:rFonts w:eastAsia="Calibri" w:cs="Arial"/>
                <w:szCs w:val="24"/>
              </w:rPr>
            </w:pPr>
            <w:r w:rsidRPr="00B92503">
              <w:rPr>
                <w:rFonts w:eastAsia="Calibri" w:cs="Arial"/>
                <w:szCs w:val="24"/>
              </w:rPr>
              <w:t>9</w:t>
            </w:r>
            <w:r w:rsidR="005C6E68">
              <w:rPr>
                <w:rFonts w:eastAsia="Calibri" w:cs="Arial"/>
                <w:szCs w:val="24"/>
              </w:rPr>
              <w:t>,</w:t>
            </w:r>
            <w:r w:rsidRPr="00B92503">
              <w:rPr>
                <w:rFonts w:eastAsia="Calibri" w:cs="Arial"/>
                <w:szCs w:val="24"/>
              </w:rPr>
              <w:t>0</w:t>
            </w:r>
          </w:p>
        </w:tc>
        <w:tc>
          <w:tcPr>
            <w:tcW w:w="2127" w:type="dxa"/>
            <w:shd w:val="clear" w:color="auto" w:fill="auto"/>
            <w:vAlign w:val="center"/>
          </w:tcPr>
          <w:p w:rsidR="004814E9" w:rsidRPr="00B92503" w:rsidRDefault="004814E9" w:rsidP="005C6E68">
            <w:pPr>
              <w:jc w:val="right"/>
              <w:rPr>
                <w:rFonts w:eastAsia="Calibri" w:cs="Arial"/>
                <w:szCs w:val="24"/>
              </w:rPr>
            </w:pPr>
            <w:r w:rsidRPr="00B92503">
              <w:rPr>
                <w:rFonts w:eastAsia="Calibri" w:cs="Arial"/>
                <w:szCs w:val="24"/>
              </w:rPr>
              <w:t>13</w:t>
            </w:r>
            <w:r w:rsidR="005C6E68">
              <w:rPr>
                <w:rFonts w:eastAsia="Calibri" w:cs="Arial"/>
                <w:szCs w:val="24"/>
              </w:rPr>
              <w:t>,</w:t>
            </w:r>
            <w:r w:rsidRPr="00B92503">
              <w:rPr>
                <w:rFonts w:eastAsia="Calibri" w:cs="Arial"/>
                <w:szCs w:val="24"/>
              </w:rPr>
              <w:t>5</w:t>
            </w:r>
          </w:p>
        </w:tc>
      </w:tr>
      <w:tr w:rsidR="004814E9" w:rsidRPr="00B92503" w:rsidTr="005C6E68">
        <w:tc>
          <w:tcPr>
            <w:tcW w:w="2689" w:type="dxa"/>
            <w:vMerge w:val="restart"/>
            <w:shd w:val="clear" w:color="auto" w:fill="auto"/>
            <w:vAlign w:val="center"/>
          </w:tcPr>
          <w:p w:rsidR="004814E9" w:rsidRPr="00B92503" w:rsidRDefault="004814E9" w:rsidP="00B92503">
            <w:pPr>
              <w:jc w:val="center"/>
              <w:rPr>
                <w:rFonts w:eastAsia="Calibri" w:cs="Arial"/>
                <w:szCs w:val="24"/>
              </w:rPr>
            </w:pPr>
            <w:r w:rsidRPr="00B92503">
              <w:rPr>
                <w:rFonts w:eastAsia="Calibri" w:cs="Arial"/>
                <w:szCs w:val="24"/>
              </w:rPr>
              <w:t>All</w:t>
            </w:r>
          </w:p>
        </w:tc>
        <w:tc>
          <w:tcPr>
            <w:tcW w:w="1701" w:type="dxa"/>
            <w:shd w:val="clear" w:color="auto" w:fill="auto"/>
            <w:vAlign w:val="center"/>
          </w:tcPr>
          <w:p w:rsidR="004814E9" w:rsidRPr="00B92503" w:rsidRDefault="004814E9" w:rsidP="00B92503">
            <w:pPr>
              <w:jc w:val="center"/>
              <w:rPr>
                <w:rFonts w:eastAsia="Calibri" w:cs="Arial"/>
                <w:szCs w:val="24"/>
              </w:rPr>
            </w:pPr>
            <w:r w:rsidRPr="00B92503">
              <w:rPr>
                <w:rFonts w:eastAsia="Calibri" w:cs="Arial"/>
                <w:szCs w:val="24"/>
              </w:rPr>
              <w:t>All ages</w:t>
            </w:r>
          </w:p>
        </w:tc>
        <w:tc>
          <w:tcPr>
            <w:tcW w:w="2409" w:type="dxa"/>
            <w:shd w:val="clear" w:color="auto" w:fill="auto"/>
            <w:vAlign w:val="center"/>
          </w:tcPr>
          <w:p w:rsidR="004814E9" w:rsidRPr="00B92503" w:rsidRDefault="004814E9" w:rsidP="005C6E68">
            <w:pPr>
              <w:jc w:val="right"/>
              <w:rPr>
                <w:rFonts w:eastAsia="Calibri" w:cs="Arial"/>
                <w:szCs w:val="24"/>
              </w:rPr>
            </w:pPr>
            <w:r w:rsidRPr="00B92503">
              <w:rPr>
                <w:rFonts w:eastAsia="Calibri" w:cs="Arial"/>
                <w:szCs w:val="24"/>
              </w:rPr>
              <w:t>0</w:t>
            </w:r>
            <w:r w:rsidR="005C6E68">
              <w:rPr>
                <w:rFonts w:eastAsia="Calibri" w:cs="Arial"/>
                <w:szCs w:val="24"/>
              </w:rPr>
              <w:t>,</w:t>
            </w:r>
            <w:r w:rsidRPr="00B92503">
              <w:rPr>
                <w:rFonts w:eastAsia="Calibri" w:cs="Arial"/>
                <w:szCs w:val="24"/>
              </w:rPr>
              <w:t>8</w:t>
            </w:r>
          </w:p>
        </w:tc>
        <w:tc>
          <w:tcPr>
            <w:tcW w:w="2127" w:type="dxa"/>
            <w:shd w:val="clear" w:color="auto" w:fill="auto"/>
            <w:vAlign w:val="center"/>
          </w:tcPr>
          <w:p w:rsidR="004814E9" w:rsidRPr="00B92503" w:rsidRDefault="004814E9" w:rsidP="005C6E68">
            <w:pPr>
              <w:jc w:val="right"/>
              <w:rPr>
                <w:rFonts w:eastAsia="Calibri" w:cs="Arial"/>
                <w:szCs w:val="24"/>
              </w:rPr>
            </w:pPr>
            <w:r w:rsidRPr="00B92503">
              <w:rPr>
                <w:rFonts w:eastAsia="Calibri" w:cs="Arial"/>
                <w:szCs w:val="24"/>
              </w:rPr>
              <w:t>1</w:t>
            </w:r>
            <w:r w:rsidR="005C6E68">
              <w:rPr>
                <w:rFonts w:eastAsia="Calibri" w:cs="Arial"/>
                <w:szCs w:val="24"/>
              </w:rPr>
              <w:t>,</w:t>
            </w:r>
            <w:r w:rsidRPr="00B92503">
              <w:rPr>
                <w:rFonts w:eastAsia="Calibri" w:cs="Arial"/>
                <w:szCs w:val="24"/>
              </w:rPr>
              <w:t>8</w:t>
            </w:r>
          </w:p>
        </w:tc>
      </w:tr>
      <w:tr w:rsidR="001D0450" w:rsidRPr="00B92503" w:rsidTr="005C6E68">
        <w:tc>
          <w:tcPr>
            <w:tcW w:w="2689" w:type="dxa"/>
            <w:vMerge/>
            <w:shd w:val="clear" w:color="auto" w:fill="auto"/>
            <w:vAlign w:val="center"/>
          </w:tcPr>
          <w:p w:rsidR="004814E9" w:rsidRPr="00B92503" w:rsidRDefault="004814E9" w:rsidP="00B92503">
            <w:pPr>
              <w:jc w:val="center"/>
              <w:rPr>
                <w:rFonts w:eastAsia="Calibri" w:cs="Arial"/>
                <w:szCs w:val="24"/>
              </w:rPr>
            </w:pPr>
          </w:p>
        </w:tc>
        <w:tc>
          <w:tcPr>
            <w:tcW w:w="1701" w:type="dxa"/>
            <w:shd w:val="clear" w:color="auto" w:fill="auto"/>
            <w:vAlign w:val="center"/>
          </w:tcPr>
          <w:p w:rsidR="004814E9" w:rsidRPr="00B92503" w:rsidRDefault="004814E9" w:rsidP="00B92503">
            <w:pPr>
              <w:jc w:val="center"/>
              <w:rPr>
                <w:rFonts w:eastAsia="Calibri" w:cs="Arial"/>
                <w:szCs w:val="24"/>
              </w:rPr>
            </w:pPr>
            <w:r w:rsidRPr="00B92503">
              <w:rPr>
                <w:rFonts w:eastAsia="Calibri" w:cs="Arial"/>
                <w:szCs w:val="24"/>
              </w:rPr>
              <w:t>65 and over</w:t>
            </w:r>
          </w:p>
        </w:tc>
        <w:tc>
          <w:tcPr>
            <w:tcW w:w="2409" w:type="dxa"/>
            <w:shd w:val="clear" w:color="auto" w:fill="auto"/>
            <w:vAlign w:val="center"/>
          </w:tcPr>
          <w:p w:rsidR="004814E9" w:rsidRPr="00B92503" w:rsidRDefault="004814E9" w:rsidP="005C6E68">
            <w:pPr>
              <w:jc w:val="right"/>
              <w:rPr>
                <w:rFonts w:eastAsia="Calibri" w:cs="Arial"/>
                <w:szCs w:val="24"/>
              </w:rPr>
            </w:pPr>
            <w:r w:rsidRPr="00B92503">
              <w:rPr>
                <w:rFonts w:eastAsia="Calibri" w:cs="Arial"/>
                <w:szCs w:val="24"/>
              </w:rPr>
              <w:t>5</w:t>
            </w:r>
            <w:r w:rsidR="005C6E68">
              <w:rPr>
                <w:rFonts w:eastAsia="Calibri" w:cs="Arial"/>
                <w:szCs w:val="24"/>
              </w:rPr>
              <w:t>,</w:t>
            </w:r>
            <w:r w:rsidRPr="00B92503">
              <w:rPr>
                <w:rFonts w:eastAsia="Calibri" w:cs="Arial"/>
                <w:szCs w:val="24"/>
              </w:rPr>
              <w:t>4</w:t>
            </w:r>
          </w:p>
        </w:tc>
        <w:tc>
          <w:tcPr>
            <w:tcW w:w="2127" w:type="dxa"/>
            <w:shd w:val="clear" w:color="auto" w:fill="auto"/>
            <w:vAlign w:val="center"/>
          </w:tcPr>
          <w:p w:rsidR="004814E9" w:rsidRPr="00B92503" w:rsidRDefault="004814E9" w:rsidP="005C6E68">
            <w:pPr>
              <w:jc w:val="right"/>
              <w:rPr>
                <w:rFonts w:eastAsia="Calibri" w:cs="Arial"/>
                <w:szCs w:val="24"/>
              </w:rPr>
            </w:pPr>
            <w:r w:rsidRPr="00B92503">
              <w:rPr>
                <w:rFonts w:eastAsia="Calibri" w:cs="Arial"/>
                <w:szCs w:val="24"/>
              </w:rPr>
              <w:t>7</w:t>
            </w:r>
            <w:r w:rsidR="005C6E68">
              <w:rPr>
                <w:rFonts w:eastAsia="Calibri" w:cs="Arial"/>
                <w:szCs w:val="24"/>
              </w:rPr>
              <w:t>,</w:t>
            </w:r>
            <w:r w:rsidRPr="00B92503">
              <w:rPr>
                <w:rFonts w:eastAsia="Calibri" w:cs="Arial"/>
                <w:szCs w:val="24"/>
              </w:rPr>
              <w:t>3</w:t>
            </w:r>
          </w:p>
        </w:tc>
      </w:tr>
      <w:tr w:rsidR="001D0450" w:rsidRPr="00B92503" w:rsidTr="005C6E68">
        <w:tc>
          <w:tcPr>
            <w:tcW w:w="2689" w:type="dxa"/>
            <w:vMerge/>
            <w:shd w:val="clear" w:color="auto" w:fill="auto"/>
            <w:vAlign w:val="center"/>
          </w:tcPr>
          <w:p w:rsidR="004814E9" w:rsidRPr="00B92503" w:rsidRDefault="004814E9" w:rsidP="00B92503">
            <w:pPr>
              <w:jc w:val="center"/>
              <w:rPr>
                <w:rFonts w:eastAsia="Calibri" w:cs="Arial"/>
                <w:szCs w:val="24"/>
              </w:rPr>
            </w:pPr>
          </w:p>
        </w:tc>
        <w:tc>
          <w:tcPr>
            <w:tcW w:w="1701" w:type="dxa"/>
            <w:shd w:val="clear" w:color="auto" w:fill="auto"/>
            <w:vAlign w:val="center"/>
          </w:tcPr>
          <w:p w:rsidR="004814E9" w:rsidRPr="00B92503" w:rsidRDefault="004814E9" w:rsidP="00B92503">
            <w:pPr>
              <w:jc w:val="center"/>
              <w:rPr>
                <w:rFonts w:eastAsia="Calibri" w:cs="Arial"/>
                <w:szCs w:val="24"/>
              </w:rPr>
            </w:pPr>
            <w:r w:rsidRPr="00B92503">
              <w:rPr>
                <w:rFonts w:eastAsia="Calibri" w:cs="Arial"/>
                <w:szCs w:val="24"/>
              </w:rPr>
              <w:t>80 and over</w:t>
            </w:r>
          </w:p>
        </w:tc>
        <w:tc>
          <w:tcPr>
            <w:tcW w:w="2409" w:type="dxa"/>
            <w:shd w:val="clear" w:color="auto" w:fill="auto"/>
            <w:vAlign w:val="center"/>
          </w:tcPr>
          <w:p w:rsidR="004814E9" w:rsidRPr="00B92503" w:rsidRDefault="004814E9" w:rsidP="005C6E68">
            <w:pPr>
              <w:jc w:val="right"/>
              <w:rPr>
                <w:rFonts w:eastAsia="Calibri" w:cs="Arial"/>
                <w:szCs w:val="24"/>
              </w:rPr>
            </w:pPr>
            <w:r w:rsidRPr="00B92503">
              <w:rPr>
                <w:rFonts w:eastAsia="Calibri" w:cs="Arial"/>
                <w:szCs w:val="24"/>
              </w:rPr>
              <w:t>16</w:t>
            </w:r>
            <w:r w:rsidR="005C6E68">
              <w:rPr>
                <w:rFonts w:eastAsia="Calibri" w:cs="Arial"/>
                <w:szCs w:val="24"/>
              </w:rPr>
              <w:t>,</w:t>
            </w:r>
            <w:r w:rsidRPr="00B92503">
              <w:rPr>
                <w:rFonts w:eastAsia="Calibri" w:cs="Arial"/>
                <w:szCs w:val="24"/>
              </w:rPr>
              <w:t>0</w:t>
            </w:r>
          </w:p>
        </w:tc>
        <w:tc>
          <w:tcPr>
            <w:tcW w:w="2127" w:type="dxa"/>
            <w:shd w:val="clear" w:color="auto" w:fill="auto"/>
            <w:vAlign w:val="center"/>
          </w:tcPr>
          <w:p w:rsidR="004814E9" w:rsidRPr="00B92503" w:rsidRDefault="004814E9" w:rsidP="005C6E68">
            <w:pPr>
              <w:jc w:val="right"/>
              <w:rPr>
                <w:rFonts w:eastAsia="Calibri" w:cs="Arial"/>
                <w:szCs w:val="24"/>
              </w:rPr>
            </w:pPr>
            <w:r w:rsidRPr="00B92503">
              <w:rPr>
                <w:rFonts w:eastAsia="Calibri" w:cs="Arial"/>
                <w:szCs w:val="24"/>
              </w:rPr>
              <w:t>15</w:t>
            </w:r>
            <w:r w:rsidR="005C6E68">
              <w:rPr>
                <w:rFonts w:eastAsia="Calibri" w:cs="Arial"/>
                <w:szCs w:val="24"/>
              </w:rPr>
              <w:t>,</w:t>
            </w:r>
            <w:r w:rsidRPr="00B92503">
              <w:rPr>
                <w:rFonts w:eastAsia="Calibri" w:cs="Arial"/>
                <w:szCs w:val="24"/>
              </w:rPr>
              <w:t>9</w:t>
            </w:r>
          </w:p>
        </w:tc>
      </w:tr>
    </w:tbl>
    <w:p w:rsidR="004814E9" w:rsidRPr="00B92503" w:rsidRDefault="004814E9" w:rsidP="00B92503">
      <w:pPr>
        <w:rPr>
          <w:rFonts w:cs="Arial"/>
          <w:szCs w:val="24"/>
        </w:rPr>
      </w:pPr>
      <w:r w:rsidRPr="00B92503">
        <w:rPr>
          <w:rFonts w:cs="Arial"/>
          <w:szCs w:val="24"/>
        </w:rPr>
        <w:t>Source: Authors' own presentation based on OECD data LTC recipients</w:t>
      </w:r>
      <w:r w:rsidRPr="00B92503">
        <w:rPr>
          <w:rStyle w:val="FootnoteReference"/>
          <w:rFonts w:cs="Arial"/>
          <w:sz w:val="24"/>
          <w:szCs w:val="24"/>
        </w:rPr>
        <w:footnoteReference w:id="115"/>
      </w:r>
    </w:p>
    <w:p w:rsidR="004E4469" w:rsidRPr="00B92503" w:rsidRDefault="004E4469" w:rsidP="00B92503">
      <w:pPr>
        <w:rPr>
          <w:rFonts w:cs="Arial"/>
          <w:b/>
          <w:szCs w:val="24"/>
        </w:rPr>
      </w:pPr>
    </w:p>
    <w:p w:rsidR="004E4469" w:rsidRDefault="004E4469" w:rsidP="00B92503">
      <w:pPr>
        <w:rPr>
          <w:rFonts w:cs="Arial"/>
          <w:szCs w:val="24"/>
        </w:rPr>
      </w:pPr>
      <w:r w:rsidRPr="00B92503">
        <w:rPr>
          <w:rFonts w:cs="Arial"/>
          <w:b/>
          <w:szCs w:val="24"/>
        </w:rPr>
        <w:t>Figure 7:</w:t>
      </w:r>
      <w:r w:rsidRPr="00B92503">
        <w:rPr>
          <w:rFonts w:cs="Arial"/>
          <w:szCs w:val="24"/>
        </w:rPr>
        <w:t xml:space="preserve"> changes in number of beds in nursing / residential care facilities, per 1</w:t>
      </w:r>
      <w:r w:rsidR="005C6E68">
        <w:rPr>
          <w:rFonts w:cs="Arial"/>
          <w:szCs w:val="24"/>
        </w:rPr>
        <w:t>,</w:t>
      </w:r>
      <w:r w:rsidRPr="00B92503">
        <w:rPr>
          <w:rFonts w:cs="Arial"/>
          <w:szCs w:val="24"/>
        </w:rPr>
        <w:t>000 inhabitants and per 1</w:t>
      </w:r>
      <w:r w:rsidR="005C6E68">
        <w:rPr>
          <w:rFonts w:cs="Arial"/>
          <w:szCs w:val="24"/>
        </w:rPr>
        <w:t>,</w:t>
      </w:r>
      <w:r w:rsidRPr="00B92503">
        <w:rPr>
          <w:rFonts w:cs="Arial"/>
          <w:szCs w:val="24"/>
        </w:rPr>
        <w:t>000 inhabitants aged 65 or older (2012-2017)</w:t>
      </w:r>
    </w:p>
    <w:p w:rsidR="004E4469" w:rsidRPr="00B92503" w:rsidRDefault="005C6E68" w:rsidP="00B92503">
      <w:pPr>
        <w:rPr>
          <w:rFonts w:cs="Arial"/>
          <w:szCs w:val="24"/>
        </w:rPr>
      </w:pPr>
      <w:r w:rsidRPr="00B92503">
        <w:rPr>
          <w:rFonts w:cs="Arial"/>
          <w:noProof/>
          <w:szCs w:val="24"/>
          <w:lang w:eastAsia="en-IE"/>
        </w:rPr>
        <w:drawing>
          <wp:anchor distT="0" distB="0" distL="0" distR="0" simplePos="0" relativeHeight="251724800" behindDoc="0" locked="0" layoutInCell="1" allowOverlap="1" wp14:anchorId="5FC062EB" wp14:editId="729FC2E2">
            <wp:simplePos x="0" y="0"/>
            <wp:positionH relativeFrom="margin">
              <wp:align>center</wp:align>
            </wp:positionH>
            <wp:positionV relativeFrom="paragraph">
              <wp:posOffset>157480</wp:posOffset>
            </wp:positionV>
            <wp:extent cx="5494020" cy="2280920"/>
            <wp:effectExtent l="0" t="0" r="0" b="508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5494020" cy="2280920"/>
                    </a:xfrm>
                    <a:prstGeom prst="rect">
                      <a:avLst/>
                    </a:prstGeom>
                  </pic:spPr>
                </pic:pic>
              </a:graphicData>
            </a:graphic>
          </wp:anchor>
        </w:drawing>
      </w:r>
      <w:r w:rsidR="004E4469" w:rsidRPr="00B92503">
        <w:rPr>
          <w:rFonts w:cs="Arial"/>
          <w:szCs w:val="24"/>
        </w:rPr>
        <w:t>Source: Authors' own presentation based on OECD data</w:t>
      </w:r>
      <w:r w:rsidR="004E4469" w:rsidRPr="00B92503">
        <w:rPr>
          <w:rStyle w:val="FootnoteReference"/>
          <w:rFonts w:cs="Arial"/>
          <w:sz w:val="24"/>
          <w:szCs w:val="24"/>
        </w:rPr>
        <w:footnoteReference w:id="116"/>
      </w:r>
    </w:p>
    <w:p w:rsidR="000B40F0" w:rsidRPr="00B92503" w:rsidRDefault="000B40F0" w:rsidP="00B92503">
      <w:pPr>
        <w:rPr>
          <w:rFonts w:cs="Arial"/>
          <w:szCs w:val="24"/>
        </w:rPr>
      </w:pPr>
      <w:r w:rsidRPr="00B92503">
        <w:rPr>
          <w:rFonts w:cs="Arial"/>
          <w:szCs w:val="24"/>
        </w:rPr>
        <w:br w:type="page"/>
      </w:r>
    </w:p>
    <w:p w:rsidR="004E4469" w:rsidRPr="00B92503" w:rsidRDefault="004E4469" w:rsidP="00B92503">
      <w:pPr>
        <w:rPr>
          <w:rFonts w:cs="Arial"/>
          <w:szCs w:val="24"/>
        </w:rPr>
      </w:pPr>
      <w:r w:rsidRPr="00B92503">
        <w:rPr>
          <w:rFonts w:cs="Arial"/>
          <w:b/>
          <w:szCs w:val="24"/>
        </w:rPr>
        <w:lastRenderedPageBreak/>
        <w:t>Figure 8</w:t>
      </w:r>
      <w:r w:rsidRPr="00B92503">
        <w:rPr>
          <w:rFonts w:cs="Arial"/>
          <w:szCs w:val="24"/>
        </w:rPr>
        <w:t>: developments in care compared to 2013 (=100</w:t>
      </w:r>
      <w:r w:rsidR="005C6E68">
        <w:rPr>
          <w:rFonts w:cs="Arial"/>
          <w:szCs w:val="24"/>
        </w:rPr>
        <w:t xml:space="preserve"> </w:t>
      </w:r>
      <w:r w:rsidRPr="00B92503">
        <w:rPr>
          <w:rFonts w:cs="Arial"/>
          <w:szCs w:val="24"/>
        </w:rPr>
        <w:t xml:space="preserve">%) </w:t>
      </w:r>
    </w:p>
    <w:p w:rsidR="000B40F0" w:rsidRPr="00B92503" w:rsidRDefault="000B40F0" w:rsidP="00B92503">
      <w:pPr>
        <w:rPr>
          <w:rFonts w:cs="Arial"/>
          <w:szCs w:val="24"/>
        </w:rPr>
      </w:pPr>
      <w:r w:rsidRPr="00B92503">
        <w:rPr>
          <w:rFonts w:cs="Arial"/>
          <w:noProof/>
          <w:szCs w:val="24"/>
          <w:lang w:eastAsia="en-IE"/>
        </w:rPr>
        <w:drawing>
          <wp:inline distT="0" distB="0" distL="0" distR="0" wp14:anchorId="0DBAEFD1" wp14:editId="578ED2DB">
            <wp:extent cx="5547298" cy="2565654"/>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1" cstate="print"/>
                    <a:stretch>
                      <a:fillRect/>
                    </a:stretch>
                  </pic:blipFill>
                  <pic:spPr>
                    <a:xfrm>
                      <a:off x="0" y="0"/>
                      <a:ext cx="5547298" cy="2565654"/>
                    </a:xfrm>
                    <a:prstGeom prst="rect">
                      <a:avLst/>
                    </a:prstGeom>
                  </pic:spPr>
                </pic:pic>
              </a:graphicData>
            </a:graphic>
          </wp:inline>
        </w:drawing>
      </w:r>
    </w:p>
    <w:p w:rsidR="004E4469" w:rsidRPr="00B92503" w:rsidRDefault="004E4469" w:rsidP="00B92503">
      <w:pPr>
        <w:rPr>
          <w:rFonts w:cs="Arial"/>
          <w:szCs w:val="24"/>
        </w:rPr>
      </w:pPr>
      <w:r w:rsidRPr="00B92503">
        <w:rPr>
          <w:rFonts w:cs="Arial"/>
          <w:szCs w:val="24"/>
        </w:rPr>
        <w:t>Source: Authors' own presentation based on OECD data</w:t>
      </w:r>
      <w:r w:rsidRPr="00B92503">
        <w:rPr>
          <w:rStyle w:val="FootnoteReference"/>
          <w:rFonts w:cs="Arial"/>
          <w:sz w:val="24"/>
          <w:szCs w:val="24"/>
        </w:rPr>
        <w:footnoteReference w:id="117"/>
      </w:r>
    </w:p>
    <w:p w:rsidR="004E4469" w:rsidRPr="00B92503" w:rsidRDefault="004E4469" w:rsidP="00B92503">
      <w:pPr>
        <w:rPr>
          <w:rFonts w:cs="Arial"/>
          <w:szCs w:val="24"/>
        </w:rPr>
      </w:pPr>
    </w:p>
    <w:p w:rsidR="004E4469" w:rsidRPr="00B92503" w:rsidRDefault="00E1309A" w:rsidP="00B92503">
      <w:pPr>
        <w:rPr>
          <w:rFonts w:cs="Arial"/>
          <w:szCs w:val="24"/>
        </w:rPr>
      </w:pPr>
      <w:r w:rsidRPr="00B92503">
        <w:rPr>
          <w:rFonts w:cs="Arial"/>
          <w:noProof/>
          <w:szCs w:val="24"/>
          <w:lang w:eastAsia="en-IE"/>
        </w:rPr>
        <w:drawing>
          <wp:anchor distT="0" distB="0" distL="0" distR="0" simplePos="0" relativeHeight="251728896" behindDoc="0" locked="0" layoutInCell="1" allowOverlap="1" wp14:anchorId="571192EA" wp14:editId="583E1211">
            <wp:simplePos x="0" y="0"/>
            <wp:positionH relativeFrom="page">
              <wp:posOffset>1050519</wp:posOffset>
            </wp:positionH>
            <wp:positionV relativeFrom="paragraph">
              <wp:posOffset>228502</wp:posOffset>
            </wp:positionV>
            <wp:extent cx="5350352" cy="2977991"/>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2" cstate="print"/>
                    <a:stretch>
                      <a:fillRect/>
                    </a:stretch>
                  </pic:blipFill>
                  <pic:spPr>
                    <a:xfrm>
                      <a:off x="0" y="0"/>
                      <a:ext cx="5350352" cy="2977991"/>
                    </a:xfrm>
                    <a:prstGeom prst="rect">
                      <a:avLst/>
                    </a:prstGeom>
                  </pic:spPr>
                </pic:pic>
              </a:graphicData>
            </a:graphic>
          </wp:anchor>
        </w:drawing>
      </w:r>
      <w:r w:rsidR="004E4469" w:rsidRPr="00B92503">
        <w:rPr>
          <w:rFonts w:cs="Arial"/>
          <w:b/>
          <w:szCs w:val="24"/>
        </w:rPr>
        <w:t>Figure 9:</w:t>
      </w:r>
      <w:r w:rsidR="004E4469" w:rsidRPr="00B92503">
        <w:rPr>
          <w:rFonts w:cs="Arial"/>
          <w:szCs w:val="24"/>
        </w:rPr>
        <w:t xml:space="preserve"> Increase of Care recipients in institutions or at home</w:t>
      </w:r>
    </w:p>
    <w:p w:rsidR="004E4469" w:rsidRPr="00B92503" w:rsidRDefault="004E4469" w:rsidP="00B92503">
      <w:pPr>
        <w:rPr>
          <w:rFonts w:cs="Arial"/>
          <w:szCs w:val="24"/>
        </w:rPr>
      </w:pPr>
      <w:r w:rsidRPr="00B92503">
        <w:rPr>
          <w:rFonts w:cs="Arial"/>
          <w:szCs w:val="24"/>
        </w:rPr>
        <w:t>Source: Authors' own presentation based on OECD data</w:t>
      </w:r>
      <w:r w:rsidRPr="00B92503">
        <w:rPr>
          <w:rStyle w:val="FootnoteReference"/>
          <w:rFonts w:cs="Arial"/>
          <w:sz w:val="24"/>
          <w:szCs w:val="24"/>
        </w:rPr>
        <w:footnoteReference w:id="118"/>
      </w:r>
    </w:p>
    <w:p w:rsidR="004E4469" w:rsidRPr="00B92503" w:rsidRDefault="004E4469" w:rsidP="00B92503">
      <w:pPr>
        <w:rPr>
          <w:rFonts w:cs="Arial"/>
          <w:szCs w:val="24"/>
        </w:rPr>
      </w:pPr>
    </w:p>
    <w:p w:rsidR="005C6E68" w:rsidRDefault="005C6E68" w:rsidP="00B92503">
      <w:pPr>
        <w:rPr>
          <w:rFonts w:cs="Arial"/>
          <w:b/>
          <w:szCs w:val="24"/>
        </w:rPr>
      </w:pPr>
    </w:p>
    <w:p w:rsidR="005C6E68" w:rsidRDefault="005C6E68" w:rsidP="00B92503">
      <w:pPr>
        <w:rPr>
          <w:rFonts w:cs="Arial"/>
          <w:b/>
          <w:szCs w:val="24"/>
        </w:rPr>
      </w:pPr>
    </w:p>
    <w:p w:rsidR="005D2721" w:rsidRPr="00B92503" w:rsidRDefault="005D2721" w:rsidP="00B92503">
      <w:pPr>
        <w:rPr>
          <w:rFonts w:cs="Arial"/>
          <w:szCs w:val="24"/>
        </w:rPr>
      </w:pPr>
      <w:r w:rsidRPr="00B92503">
        <w:rPr>
          <w:rFonts w:cs="Arial"/>
          <w:b/>
          <w:szCs w:val="24"/>
        </w:rPr>
        <w:lastRenderedPageBreak/>
        <w:t>Figure 10</w:t>
      </w:r>
      <w:r w:rsidRPr="00B92503">
        <w:rPr>
          <w:rFonts w:cs="Arial"/>
          <w:szCs w:val="24"/>
        </w:rPr>
        <w:t>: Number of beneficiaries independent living and age group 2013-2016</w:t>
      </w:r>
    </w:p>
    <w:p w:rsidR="005D2721" w:rsidRPr="00B92503" w:rsidRDefault="000B40F0" w:rsidP="00B92503">
      <w:pPr>
        <w:rPr>
          <w:rFonts w:cs="Arial"/>
          <w:szCs w:val="24"/>
        </w:rPr>
      </w:pPr>
      <w:r w:rsidRPr="00B92503">
        <w:rPr>
          <w:rFonts w:cs="Arial"/>
          <w:noProof/>
          <w:szCs w:val="24"/>
          <w:lang w:eastAsia="en-IE"/>
        </w:rPr>
        <w:drawing>
          <wp:inline distT="0" distB="0" distL="0" distR="0" wp14:anchorId="60AEC841" wp14:editId="2C455422">
            <wp:extent cx="5384260" cy="3337560"/>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3" cstate="print"/>
                    <a:stretch>
                      <a:fillRect/>
                    </a:stretch>
                  </pic:blipFill>
                  <pic:spPr>
                    <a:xfrm>
                      <a:off x="0" y="0"/>
                      <a:ext cx="5384260" cy="3337560"/>
                    </a:xfrm>
                    <a:prstGeom prst="rect">
                      <a:avLst/>
                    </a:prstGeom>
                  </pic:spPr>
                </pic:pic>
              </a:graphicData>
            </a:graphic>
          </wp:inline>
        </w:drawing>
      </w:r>
    </w:p>
    <w:p w:rsidR="004E4469" w:rsidRPr="00B92503" w:rsidRDefault="005D2721" w:rsidP="00B92503">
      <w:pPr>
        <w:rPr>
          <w:rFonts w:cs="Arial"/>
          <w:szCs w:val="24"/>
        </w:rPr>
      </w:pPr>
      <w:r w:rsidRPr="00B92503">
        <w:rPr>
          <w:rFonts w:cs="Arial"/>
          <w:szCs w:val="24"/>
        </w:rPr>
        <w:t>Source: Compilation by the author, based on data of the social insurance (</w:t>
      </w:r>
      <w:proofErr w:type="spellStart"/>
      <w:r w:rsidRPr="00B92503">
        <w:rPr>
          <w:rFonts w:cs="Arial"/>
          <w:i/>
          <w:szCs w:val="24"/>
        </w:rPr>
        <w:t>Securité</w:t>
      </w:r>
      <w:proofErr w:type="spellEnd"/>
      <w:r w:rsidRPr="00B92503">
        <w:rPr>
          <w:rFonts w:cs="Arial"/>
          <w:i/>
          <w:szCs w:val="24"/>
        </w:rPr>
        <w:t xml:space="preserve"> social </w:t>
      </w:r>
      <w:r w:rsidRPr="00B92503">
        <w:rPr>
          <w:rFonts w:cs="Arial"/>
          <w:szCs w:val="24"/>
        </w:rPr>
        <w:t>2017)</w:t>
      </w:r>
      <w:r w:rsidRPr="00B92503">
        <w:rPr>
          <w:rStyle w:val="FootnoteReference"/>
          <w:rFonts w:cs="Arial"/>
          <w:sz w:val="24"/>
          <w:szCs w:val="24"/>
        </w:rPr>
        <w:footnoteReference w:id="119"/>
      </w:r>
    </w:p>
    <w:p w:rsidR="005D2721" w:rsidRPr="00B92503" w:rsidRDefault="005D2721" w:rsidP="00B92503">
      <w:pPr>
        <w:rPr>
          <w:rFonts w:cs="Arial"/>
          <w:szCs w:val="24"/>
        </w:rPr>
      </w:pPr>
    </w:p>
    <w:p w:rsidR="005D2721" w:rsidRPr="00B92503" w:rsidRDefault="005D2721" w:rsidP="00B92503">
      <w:pPr>
        <w:rPr>
          <w:rFonts w:cs="Arial"/>
          <w:szCs w:val="24"/>
        </w:rPr>
      </w:pPr>
      <w:r w:rsidRPr="00B92503">
        <w:rPr>
          <w:rFonts w:cs="Arial"/>
          <w:b/>
          <w:szCs w:val="24"/>
        </w:rPr>
        <w:t>Figure 11:</w:t>
      </w:r>
      <w:r w:rsidRPr="00B92503">
        <w:rPr>
          <w:rFonts w:cs="Arial"/>
          <w:szCs w:val="24"/>
        </w:rPr>
        <w:t xml:space="preserve"> Living situation of Persons with disabilities</w:t>
      </w:r>
    </w:p>
    <w:p w:rsidR="005D2721" w:rsidRPr="00B92503" w:rsidRDefault="00E1309A" w:rsidP="00B92503">
      <w:pPr>
        <w:rPr>
          <w:rFonts w:cs="Arial"/>
          <w:szCs w:val="24"/>
        </w:rPr>
      </w:pPr>
      <w:r w:rsidRPr="00B92503">
        <w:rPr>
          <w:rFonts w:cs="Arial"/>
          <w:noProof/>
          <w:szCs w:val="24"/>
          <w:lang w:eastAsia="en-IE"/>
        </w:rPr>
        <w:drawing>
          <wp:inline distT="0" distB="0" distL="0" distR="0" wp14:anchorId="29BB20C2" wp14:editId="0AE4825B">
            <wp:extent cx="5883061" cy="2798064"/>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4" cstate="print"/>
                    <a:stretch>
                      <a:fillRect/>
                    </a:stretch>
                  </pic:blipFill>
                  <pic:spPr>
                    <a:xfrm>
                      <a:off x="0" y="0"/>
                      <a:ext cx="5883061" cy="2798064"/>
                    </a:xfrm>
                    <a:prstGeom prst="rect">
                      <a:avLst/>
                    </a:prstGeom>
                  </pic:spPr>
                </pic:pic>
              </a:graphicData>
            </a:graphic>
          </wp:inline>
        </w:drawing>
      </w:r>
    </w:p>
    <w:p w:rsidR="005D2721" w:rsidRPr="00B92503" w:rsidRDefault="005D2721" w:rsidP="00B92503">
      <w:pPr>
        <w:rPr>
          <w:rFonts w:cs="Arial"/>
          <w:szCs w:val="24"/>
        </w:rPr>
      </w:pPr>
      <w:r w:rsidRPr="00B92503">
        <w:rPr>
          <w:rFonts w:cs="Arial"/>
          <w:szCs w:val="24"/>
        </w:rPr>
        <w:t>Source: compilation by the author based on data delivered by the Ministry of Family Affairs</w:t>
      </w:r>
      <w:r w:rsidRPr="00B92503">
        <w:rPr>
          <w:rStyle w:val="FootnoteReference"/>
          <w:rFonts w:cs="Arial"/>
          <w:sz w:val="24"/>
          <w:szCs w:val="24"/>
        </w:rPr>
        <w:footnoteReference w:id="120"/>
      </w:r>
      <w:r w:rsidRPr="00B92503">
        <w:rPr>
          <w:rFonts w:cs="Arial"/>
          <w:szCs w:val="24"/>
        </w:rPr>
        <w:t xml:space="preserve"> </w:t>
      </w:r>
    </w:p>
    <w:p w:rsidR="005D2721" w:rsidRPr="00B92503" w:rsidRDefault="005D2721" w:rsidP="00B92503">
      <w:pPr>
        <w:rPr>
          <w:rFonts w:cs="Arial"/>
          <w:szCs w:val="24"/>
        </w:rPr>
      </w:pPr>
    </w:p>
    <w:p w:rsidR="005D2721" w:rsidRPr="00B92503" w:rsidRDefault="005D2721" w:rsidP="00B92503">
      <w:pPr>
        <w:rPr>
          <w:rFonts w:cs="Arial"/>
          <w:szCs w:val="24"/>
        </w:rPr>
      </w:pPr>
      <w:r w:rsidRPr="00B92503">
        <w:rPr>
          <w:rFonts w:cs="Arial"/>
          <w:szCs w:val="24"/>
        </w:rPr>
        <w:lastRenderedPageBreak/>
        <w:t>Extracts from the 2018 coalition agreement</w:t>
      </w:r>
      <w:r w:rsidR="00256857">
        <w:rPr>
          <w:rFonts w:cs="Arial"/>
          <w:szCs w:val="24"/>
        </w:rPr>
        <w:t>:</w:t>
      </w:r>
      <w:r w:rsidRPr="00B92503">
        <w:rPr>
          <w:rStyle w:val="FootnoteReference"/>
          <w:rFonts w:cs="Arial"/>
          <w:sz w:val="24"/>
          <w:szCs w:val="24"/>
        </w:rPr>
        <w:footnoteReference w:id="121"/>
      </w:r>
    </w:p>
    <w:p w:rsidR="000B40F0" w:rsidRPr="00B92503" w:rsidRDefault="000B40F0" w:rsidP="00B92503">
      <w:pPr>
        <w:rPr>
          <w:rFonts w:cs="Arial"/>
          <w:szCs w:val="24"/>
        </w:rPr>
      </w:pPr>
    </w:p>
    <w:p w:rsidR="005D2721" w:rsidRDefault="005D2721" w:rsidP="005C6E68">
      <w:pPr>
        <w:pStyle w:val="ListParagraph"/>
      </w:pPr>
      <w:r w:rsidRPr="00B92503">
        <w:t xml:space="preserve">The coalition confirms that national legislation will be adapted in line with the standards defined by the UN Convention on the Rights of Persons with Disabilities (2006). A complete revision of national law on the protection of adults will be carried out with the aim of strengthening the autonomy of persons subject to a protection measure. The Hague Convention of 13 January 2000 on the International Protection of Adults will be ratified. People with special needs must be able to participate in all aspects of life in society. Efforts to implement the UN Convention on the Rights of Persons with Disabilities (CRDPH) will be intensified to enable persons with disabilities to effectively exercise their rights. </w:t>
      </w:r>
    </w:p>
    <w:p w:rsidR="005C6E68" w:rsidRPr="00B92503" w:rsidRDefault="005C6E68" w:rsidP="005C6E68"/>
    <w:p w:rsidR="005D2721" w:rsidRDefault="005D2721" w:rsidP="005C6E68">
      <w:pPr>
        <w:pStyle w:val="ListParagraph"/>
      </w:pPr>
      <w:r w:rsidRPr="00B92503">
        <w:t xml:space="preserve">The principle of "Design for all", embodied in Article 2 of the CRPD, must allow everyone to participate freely and independently in society. Barrier-free access will continue to be promoted in all areas, including public transport, cultural and leisure facilities. A law on accessibility to all places open to the public, public roads and collective housing buildings and repealing the law of 29 March 2001 on accessibility to places open to the public, as well as three implementing regulations, will improve the accessibility of places open to the public, public roads and collective housing buildings for people with disabilities. Barrier-free access will also have to be translated into virtual space. </w:t>
      </w:r>
    </w:p>
    <w:p w:rsidR="005C6E68" w:rsidRPr="00B92503" w:rsidRDefault="005C6E68" w:rsidP="005C6E68"/>
    <w:p w:rsidR="005D2721" w:rsidRPr="00B92503" w:rsidRDefault="005D2721" w:rsidP="005C6E68">
      <w:pPr>
        <w:pStyle w:val="ListParagraph"/>
      </w:pPr>
      <w:r w:rsidRPr="00B92503">
        <w:t xml:space="preserve">A study will be launched to analyse the living conditions of people with disabilities in Luxembourg. The purpose of the study is to assess, on the one hand, the measures and services that already exist and, on the other hand, to determine which services and offers should be put in place in Luxembourg in order to ensure the autonomy of disabled people. This study will also provide more detailed and reliable statistics on the situation and needs of people with disabilities. Among other things, it is necessary to analyse the relevance and consistency of the provisions on income for people with severe disabilities. </w:t>
      </w:r>
    </w:p>
    <w:p w:rsidR="005D2721" w:rsidRPr="00B92503" w:rsidRDefault="005D2721" w:rsidP="00B92503">
      <w:pPr>
        <w:rPr>
          <w:rFonts w:cs="Arial"/>
          <w:szCs w:val="24"/>
        </w:rPr>
      </w:pPr>
    </w:p>
    <w:p w:rsidR="00093627" w:rsidRPr="00B92503" w:rsidRDefault="00093627" w:rsidP="00B92503">
      <w:pPr>
        <w:rPr>
          <w:rFonts w:cs="Arial"/>
          <w:szCs w:val="24"/>
        </w:rPr>
      </w:pPr>
      <w:r w:rsidRPr="00B92503">
        <w:rPr>
          <w:rFonts w:cs="Arial"/>
          <w:szCs w:val="24"/>
        </w:rPr>
        <w:t>Milestones, concerning the psychiatric reform and decentralisation in Luxembourg, mentioned in the first national report, points 143 - 146):</w:t>
      </w:r>
      <w:r w:rsidRPr="00B92503">
        <w:rPr>
          <w:rStyle w:val="FootnoteReference"/>
          <w:rFonts w:cs="Arial"/>
          <w:sz w:val="24"/>
          <w:szCs w:val="24"/>
        </w:rPr>
        <w:footnoteReference w:id="122"/>
      </w:r>
      <w:r w:rsidRPr="00B92503">
        <w:rPr>
          <w:rFonts w:cs="Arial"/>
          <w:szCs w:val="24"/>
        </w:rPr>
        <w:t xml:space="preserve"> </w:t>
      </w:r>
    </w:p>
    <w:p w:rsidR="005D2721" w:rsidRPr="00B92503" w:rsidRDefault="005D2721" w:rsidP="00B92503">
      <w:pPr>
        <w:rPr>
          <w:rFonts w:cs="Arial"/>
          <w:szCs w:val="24"/>
        </w:rPr>
      </w:pPr>
    </w:p>
    <w:p w:rsidR="005D6476" w:rsidRPr="00B92503" w:rsidRDefault="005D6476" w:rsidP="005C6E68">
      <w:pPr>
        <w:pStyle w:val="ListParagraph"/>
      </w:pPr>
      <w:r w:rsidRPr="00B92503">
        <w:t xml:space="preserve">A big shift towards decentralizing psychiatric care has taken place in Luxembourg since 1994. From 1994 onwards, persons with disabilities living in psychiatric hospitals have been transferred either to special institutions for persons with disabilities or, where possible, to sheltered accommodation. The mental health reform in Luxembourg, which gained renewed momentum in 2005, can be summarized as follows: "de-institutionalization, decentralization, </w:t>
      </w:r>
      <w:proofErr w:type="spellStart"/>
      <w:r w:rsidR="00E1309A" w:rsidRPr="00B92503">
        <w:t>destigmati</w:t>
      </w:r>
      <w:r w:rsidR="000C141B" w:rsidRPr="00B92503">
        <w:t>s</w:t>
      </w:r>
      <w:r w:rsidR="00E1309A" w:rsidRPr="00B92503">
        <w:t>ation</w:t>
      </w:r>
      <w:proofErr w:type="spellEnd"/>
      <w:r w:rsidRPr="00B92503">
        <w:t xml:space="preserve"> and prevention."</w:t>
      </w:r>
    </w:p>
    <w:p w:rsidR="005D6476" w:rsidRPr="00B92503" w:rsidRDefault="005D6476" w:rsidP="005C6E68">
      <w:pPr>
        <w:pStyle w:val="ListParagraph"/>
      </w:pPr>
      <w:r w:rsidRPr="00B92503">
        <w:t xml:space="preserve">In order to meet </w:t>
      </w:r>
      <w:r w:rsidRPr="005C6E68">
        <w:t>demand</w:t>
      </w:r>
      <w:r w:rsidRPr="00B92503">
        <w:t xml:space="preserve">, small non-hospital facilities (for 8-10 persons) were established to accommodate psychiatric patients. These facilities work as a network. As mental illness is often a chronic condition, the facilities continue to collaborate closely with the hospital network. They provide various mental health </w:t>
      </w:r>
      <w:r w:rsidRPr="00B92503">
        <w:lastRenderedPageBreak/>
        <w:t>services: (1) Psychiatric consultations and follow-up treatment; (2) supervised accommodation; (3) day-care centres; (4) meeting centres; (5) therapeutic workshops; and (6) information and prevention centres.</w:t>
      </w:r>
    </w:p>
    <w:p w:rsidR="005D6476" w:rsidRPr="00B92503" w:rsidRDefault="005D6476" w:rsidP="005C6E68">
      <w:pPr>
        <w:pStyle w:val="ListParagraph"/>
      </w:pPr>
      <w:r w:rsidRPr="005C6E68">
        <w:t>Psychiatric</w:t>
      </w:r>
      <w:r w:rsidRPr="00B92503">
        <w:t xml:space="preserve"> consultations and follow-up treatment are organized in the different regions of the country. These services are aimed specifically at patients with mental disabilities who are experiencing social difficulties.</w:t>
      </w:r>
    </w:p>
    <w:p w:rsidR="005D6476" w:rsidRPr="005C6E68" w:rsidRDefault="005D6476" w:rsidP="005C6E68">
      <w:pPr>
        <w:pStyle w:val="ListParagraph"/>
      </w:pPr>
      <w:r w:rsidRPr="005C6E68">
        <w:t>Supervised accommodation consists of apartments where residents with mental disabilities are supported by professionals. These professionals help patients in various tasks and monitor their state of health. Supervised accommodation is run by non-profit organi</w:t>
      </w:r>
      <w:r w:rsidR="007E08F2">
        <w:t>s</w:t>
      </w:r>
      <w:r w:rsidRPr="005C6E68">
        <w:t>ations.</w:t>
      </w:r>
    </w:p>
    <w:p w:rsidR="005D6476" w:rsidRPr="005C6E68" w:rsidRDefault="005D6476" w:rsidP="005C6E68">
      <w:pPr>
        <w:pStyle w:val="ListParagraph"/>
      </w:pPr>
      <w:r w:rsidRPr="005C6E68">
        <w:t>Day-care centres for persons with mental disabilities organize day activities as part of therapeutic workshops for psychiatric patients deemed to be "too weak" to find work. These centres provide occupational and therapeutic activities for patients and personalized support (e.g. help in coping with daily tasks, assistance with administrative and social procedures, improving cognitive skills and autonomy, offering occupational therapy workshops aimed at possible social rehabilitation and entry to the job market).</w:t>
      </w:r>
    </w:p>
    <w:p w:rsidR="005D6476" w:rsidRPr="005C6E68" w:rsidRDefault="005D6476" w:rsidP="005C6E68">
      <w:pPr>
        <w:pStyle w:val="ListParagraph"/>
      </w:pPr>
      <w:r w:rsidRPr="005C6E68">
        <w:t>Meeting centres serve as points where persons with mental disabilities can meet and talk during the day. These centres are primarily targeted at patients who are unable to work in a therapeutic workshop or attend a day-care centre.</w:t>
      </w:r>
    </w:p>
    <w:p w:rsidR="005D6476" w:rsidRPr="005C6E68" w:rsidRDefault="005D6476" w:rsidP="005C6E68">
      <w:pPr>
        <w:pStyle w:val="ListParagraph"/>
      </w:pPr>
      <w:r w:rsidRPr="005C6E68">
        <w:t xml:space="preserve">In therapeutic workshops, patients </w:t>
      </w:r>
      <w:proofErr w:type="gramStart"/>
      <w:r w:rsidRPr="005C6E68">
        <w:t>are able to</w:t>
      </w:r>
      <w:proofErr w:type="gramEnd"/>
      <w:r w:rsidRPr="005C6E68">
        <w:t xml:space="preserve"> engage in an occupation. According to their abilities, they help to carry out certain tasks and make various items, proceeds from the sale of which go towards the running costs of the workshops. The work is designed to ensure that patients are not pressured to meet productivity targets as in normal workshops.</w:t>
      </w:r>
    </w:p>
    <w:p w:rsidR="005D6476" w:rsidRPr="005C6E68" w:rsidRDefault="005D6476" w:rsidP="005C6E68">
      <w:pPr>
        <w:pStyle w:val="ListParagraph"/>
      </w:pPr>
      <w:r w:rsidRPr="005C6E68">
        <w:t>Open and closed units for the mentally ill, including paediatric psychiatry services, have been set up in the hospitals in the three regions of the hospital system. Patients with mental disorders can now be committed only by the acute psychiatric services in general hospitals.</w:t>
      </w:r>
    </w:p>
    <w:p w:rsidR="005D6476" w:rsidRPr="005C6E68" w:rsidRDefault="005D6476" w:rsidP="005C6E68">
      <w:pPr>
        <w:pStyle w:val="ListParagraph"/>
      </w:pPr>
      <w:r w:rsidRPr="005C6E68">
        <w:t>In addition to day hospitals, the programme to decentralize psychiatric services provides for the setting up of day centres, accommodation and work spaces in different regions of the country, all of which has been achieved thanks to allocations from the State budget.</w:t>
      </w:r>
    </w:p>
    <w:p w:rsidR="005D6476" w:rsidRPr="005C6E68" w:rsidRDefault="005D6476" w:rsidP="005C6E68">
      <w:pPr>
        <w:pStyle w:val="ListParagraph"/>
      </w:pPr>
      <w:r w:rsidRPr="005C6E68">
        <w:t>The funding provided by the National Health Fund for psychiatric home care services since 2008 has allowed the residential care sector to grow further, and this, in turn, has expedited deinstitutionalization and reduced the stigma surrounding hospitalization in psychiatric wards.</w:t>
      </w:r>
    </w:p>
    <w:p w:rsidR="005D6476" w:rsidRPr="00B92503" w:rsidRDefault="005D6476" w:rsidP="005C6E68">
      <w:pPr>
        <w:pStyle w:val="ListParagraph"/>
      </w:pPr>
      <w:r w:rsidRPr="005C6E68">
        <w:t>The neurop</w:t>
      </w:r>
      <w:r w:rsidRPr="00B92503">
        <w:t xml:space="preserve">sychiatric hospital released from its duties relating to acute psychiatric care, can now devote itself wholly to </w:t>
      </w:r>
      <w:r w:rsidR="00256857" w:rsidRPr="00B92503">
        <w:t>be</w:t>
      </w:r>
      <w:r w:rsidRPr="00B92503">
        <w:t xml:space="preserve"> a rehabilitation facility.</w:t>
      </w:r>
    </w:p>
    <w:p w:rsidR="004824AF" w:rsidRDefault="004824AF" w:rsidP="00B92503">
      <w:pPr>
        <w:rPr>
          <w:rFonts w:cs="Arial"/>
          <w:i/>
          <w:szCs w:val="24"/>
        </w:rPr>
      </w:pPr>
    </w:p>
    <w:p w:rsidR="005D6476" w:rsidRPr="00B92503" w:rsidRDefault="005D6476" w:rsidP="004824AF">
      <w:r w:rsidRPr="00B92503">
        <w:t>The plans for its modernization have been approved and the first steps towards decentralization are being taken.</w:t>
      </w:r>
    </w:p>
    <w:p w:rsidR="00093627" w:rsidRPr="00B92503" w:rsidRDefault="00093627" w:rsidP="00B92503">
      <w:pPr>
        <w:rPr>
          <w:rFonts w:cs="Arial"/>
          <w:szCs w:val="24"/>
        </w:rPr>
      </w:pPr>
    </w:p>
    <w:p w:rsidR="00093627" w:rsidRDefault="00A5431D" w:rsidP="00B92503">
      <w:pPr>
        <w:rPr>
          <w:rFonts w:cs="Arial"/>
          <w:szCs w:val="24"/>
        </w:rPr>
      </w:pPr>
      <w:r w:rsidRPr="00B92503">
        <w:rPr>
          <w:rFonts w:cs="Arial"/>
          <w:szCs w:val="24"/>
        </w:rPr>
        <w:t xml:space="preserve">Implementation of </w:t>
      </w:r>
      <w:r w:rsidR="004824AF">
        <w:rPr>
          <w:rFonts w:cs="Arial"/>
          <w:szCs w:val="24"/>
        </w:rPr>
        <w:t>A</w:t>
      </w:r>
      <w:r w:rsidRPr="00B92503">
        <w:rPr>
          <w:rFonts w:cs="Arial"/>
          <w:szCs w:val="24"/>
        </w:rPr>
        <w:t xml:space="preserve">rticle 19 “living independently and being included in the community </w:t>
      </w:r>
      <w:r w:rsidR="00093627" w:rsidRPr="00B92503">
        <w:rPr>
          <w:rFonts w:cs="Arial"/>
          <w:szCs w:val="24"/>
        </w:rPr>
        <w:t>Milestones</w:t>
      </w:r>
      <w:r w:rsidR="004824AF">
        <w:rPr>
          <w:rFonts w:cs="Arial"/>
          <w:szCs w:val="24"/>
        </w:rPr>
        <w:t>:</w:t>
      </w:r>
      <w:r w:rsidR="00093627" w:rsidRPr="00B92503">
        <w:rPr>
          <w:rFonts w:cs="Arial"/>
          <w:szCs w:val="24"/>
        </w:rPr>
        <w:t xml:space="preserve"> </w:t>
      </w:r>
    </w:p>
    <w:p w:rsidR="00256857" w:rsidRPr="00B92503" w:rsidRDefault="00256857" w:rsidP="00B92503">
      <w:pPr>
        <w:rPr>
          <w:rFonts w:cs="Arial"/>
          <w:szCs w:val="24"/>
        </w:rPr>
      </w:pPr>
    </w:p>
    <w:p w:rsidR="00A4604F" w:rsidRPr="004824AF" w:rsidRDefault="00093627" w:rsidP="004824AF">
      <w:pPr>
        <w:pStyle w:val="ListParagraph"/>
      </w:pPr>
      <w:r w:rsidRPr="004824AF">
        <w:t xml:space="preserve">Training activities that specifically target persons with disabilities (for the purpose of empowerment) are constantly being improved. </w:t>
      </w:r>
    </w:p>
    <w:p w:rsidR="00093627" w:rsidRPr="004824AF" w:rsidRDefault="00093627" w:rsidP="004824AF">
      <w:pPr>
        <w:pStyle w:val="ListParagraph"/>
      </w:pPr>
      <w:r w:rsidRPr="004824AF">
        <w:lastRenderedPageBreak/>
        <w:t xml:space="preserve">The “Life Academy” has been operated since 2011 by one of the management services accredited by the Ministry of Family (Ligue HMC — an association </w:t>
      </w:r>
      <w:proofErr w:type="gramStart"/>
      <w:r w:rsidRPr="004824AF">
        <w:t>providing assistance to</w:t>
      </w:r>
      <w:proofErr w:type="gramEnd"/>
      <w:r w:rsidRPr="004824AF">
        <w:t xml:space="preserve"> children, adolescents and adults with mental disabilities). The Life Academy operates as a discussion forum for persons with disabilities. Workshops for persons with disabilities are held twice a month, on topics such as “What are my rights and duties?” and “How can I express my opinion?”. The main purpose of the Life Academy is to increase the autonomy, self-determination and self-representation of persons with disabilities. The Academy’s underlying principle is that persons with disabilities are experts in the areas that concern them and that they should be involved in the discussions affecting them and be given the opportunity to make their own life choices. In 2012, 36 men and 18 women with mental disabilities or learning disabilities participated in the training sessions run by the Academy. Some 10 training sessions were offered to persons with disabilities and 16 training sessions and activities were subsequently organized by those persons for third parties. </w:t>
      </w:r>
    </w:p>
    <w:p w:rsidR="00093627" w:rsidRPr="004824AF" w:rsidRDefault="00093627" w:rsidP="004824AF">
      <w:pPr>
        <w:pStyle w:val="ListParagraph"/>
      </w:pPr>
      <w:r w:rsidRPr="004824AF">
        <w:t>The Council of Workers with Disabilities of the Ligue HMC was established in 2011 and functions as a staff delegation. It comprises 11 members (eight men and three women), each of whom represents an occupational area within the organi</w:t>
      </w:r>
      <w:r w:rsidR="007E08F2">
        <w:t>s</w:t>
      </w:r>
      <w:r w:rsidRPr="004824AF">
        <w:t xml:space="preserve">ation. It is one of the educational tools used to help workers with disabilities speak out in their professional lives. </w:t>
      </w:r>
    </w:p>
    <w:p w:rsidR="00093627" w:rsidRPr="004824AF" w:rsidRDefault="00093627" w:rsidP="004824AF">
      <w:pPr>
        <w:pStyle w:val="ListParagraph"/>
      </w:pPr>
      <w:r w:rsidRPr="004824AF">
        <w:t xml:space="preserve">The Government aims to make information available in accessible formats so that persons with disabilities can stay informed independently, without needing to systematically seek help from others. It works in conjunction with </w:t>
      </w:r>
      <w:proofErr w:type="spellStart"/>
      <w:r w:rsidRPr="004824AF">
        <w:t>Klaro</w:t>
      </w:r>
      <w:proofErr w:type="spellEnd"/>
      <w:r w:rsidRPr="004824AF">
        <w:t xml:space="preserve">, a resource centre for easy-to-understand language established in April 2012. Its role is to coordinate with, assist and support persons with communication difficulties and to organize courses in “easy-to-understand forms of communication and language” for government and public and private institutions. In 2012, the year that </w:t>
      </w:r>
      <w:proofErr w:type="spellStart"/>
      <w:r w:rsidRPr="004824AF">
        <w:t>Klaro</w:t>
      </w:r>
      <w:proofErr w:type="spellEnd"/>
      <w:r w:rsidRPr="004824AF">
        <w:t xml:space="preserve"> was established, 12 men and 11 women working for government, public or private institutions took part in two courses on easy-to-understand forms of communication and language run by overseas trainers. Two men and nine women participated in a training day at the beginning of 2013.</w:t>
      </w:r>
    </w:p>
    <w:p w:rsidR="00093627" w:rsidRPr="004824AF" w:rsidRDefault="00093627" w:rsidP="004824AF">
      <w:pPr>
        <w:pStyle w:val="ListParagraph"/>
      </w:pPr>
      <w:r w:rsidRPr="004824AF">
        <w:t>Home-help services offer home-based care and material and psychological assistance for persons with disabilities and their families. The aim is to support independent living at home and to provide care tailored to the individual needs and expectations of the persons concerned.</w:t>
      </w:r>
    </w:p>
    <w:p w:rsidR="00093627" w:rsidRPr="004824AF" w:rsidRDefault="00093627" w:rsidP="004824AF">
      <w:pPr>
        <w:pStyle w:val="ListParagraph"/>
      </w:pPr>
      <w:r w:rsidRPr="004824AF">
        <w:t>Where appropriate, dependency benefits contribute substantially to promoting the practice of independent living at home.</w:t>
      </w:r>
    </w:p>
    <w:p w:rsidR="00093627" w:rsidRPr="004824AF" w:rsidRDefault="00093627" w:rsidP="004824AF">
      <w:pPr>
        <w:pStyle w:val="ListParagraph"/>
      </w:pPr>
      <w:r w:rsidRPr="004824AF">
        <w:t>Dependency insurance is part of the social security system alongside health insurance and functions according to the same principles. Everyone makes a mandatory contribution and any insured person who becomes dependent is entitled to receive dependency benefits.</w:t>
      </w:r>
    </w:p>
    <w:p w:rsidR="00093627" w:rsidRPr="004824AF" w:rsidRDefault="00093627" w:rsidP="004824AF">
      <w:pPr>
        <w:pStyle w:val="ListParagraph"/>
      </w:pPr>
      <w:r w:rsidRPr="004824AF">
        <w:t>If the dependent person lives at home, care and assistance may be provided by a professional or private carer (chosen by the person with disabilities). Professional carer fees are paid directly by the insurer. If the carer is a private individual, a sum of money is paid to the dependent person so that he or she can pay that individual.</w:t>
      </w:r>
    </w:p>
    <w:p w:rsidR="00093627" w:rsidRPr="004824AF" w:rsidRDefault="00093627" w:rsidP="004824AF">
      <w:pPr>
        <w:pStyle w:val="ListParagraph"/>
      </w:pPr>
      <w:r w:rsidRPr="004824AF">
        <w:t xml:space="preserve">In order to qualify for dependency benefits, the assistance required for basic day-to-day tasks must represent at least 3.5 hours per week and the state of dependency must be likely to last at least </w:t>
      </w:r>
      <w:r w:rsidR="004824AF">
        <w:t>six</w:t>
      </w:r>
      <w:r w:rsidRPr="004824AF">
        <w:t xml:space="preserve"> months or be permanent. In 2011, </w:t>
      </w:r>
      <w:r w:rsidRPr="004824AF">
        <w:lastRenderedPageBreak/>
        <w:t xml:space="preserve">dependency benefits accounted for a total of 69,604,286.43 acts of basic day-to-day care for persons with disabilities. Alongside care and assistance for basic day-to-day tasks, dependent persons may also be eligible for help around the house, including help with the laundry, for 2.5 or 4 hours per week, as well as for support and counselling where appropriate. In 2011, a total of </w:t>
      </w:r>
      <w:r w:rsidR="004824AF">
        <w:t xml:space="preserve">EUR </w:t>
      </w:r>
      <w:r w:rsidRPr="004824AF">
        <w:t xml:space="preserve">7,645,179.05 was spent on domestic tasks and </w:t>
      </w:r>
      <w:r w:rsidR="004824AF">
        <w:t xml:space="preserve">EUR </w:t>
      </w:r>
      <w:r w:rsidRPr="004824AF">
        <w:t xml:space="preserve">34,073,358.62 on support activities. Support is provided for a maximum of 14 hours or, for groups, for up to 56 hours per week (8 hours a day, 7 days a week). A total of </w:t>
      </w:r>
      <w:r w:rsidR="004824AF">
        <w:t xml:space="preserve">EUR </w:t>
      </w:r>
      <w:r w:rsidRPr="004824AF">
        <w:t>11,988.74 was spent on counselling for persons with disabilities living at home. Dependency insurance covers the pension premiums for the carer (the close family member or friend who regularly assists the dependent person and who does not have a personal pension). Some 758 carers benefited from this arrangement in 2011.</w:t>
      </w:r>
    </w:p>
    <w:p w:rsidR="00093627" w:rsidRPr="004824AF" w:rsidRDefault="00093627" w:rsidP="004824AF">
      <w:pPr>
        <w:pStyle w:val="ListParagraph"/>
      </w:pPr>
      <w:r w:rsidRPr="004824AF">
        <w:t xml:space="preserve">Persons who are completely blind, persons with spina bifida, persons with communication difficulties owing to serious hearing problems or dysarthria and persons who have undergone a laryngectomy receive a lump-sum cash payment once their diagnosis has been confirmed by a specialist doctor certified by the assessment and guidance unit. In 2011, a total of </w:t>
      </w:r>
      <w:r w:rsidR="004824AF">
        <w:t xml:space="preserve">EUR </w:t>
      </w:r>
      <w:r w:rsidRPr="004824AF">
        <w:t>3,043,887.47 was paid to such persons.</w:t>
      </w:r>
    </w:p>
    <w:p w:rsidR="00093627" w:rsidRPr="004824AF" w:rsidRDefault="00093627" w:rsidP="004824AF">
      <w:pPr>
        <w:pStyle w:val="ListParagraph"/>
      </w:pPr>
      <w:r w:rsidRPr="004824AF">
        <w:t xml:space="preserve">Assistive devices (e.g. walking frames, wheelchairs, special beds, adapted vehicles) and home alterations (e.g. walk-in showers, lifts, concrete ramps) have been made available to persons with disabilities with a view to maintaining or increasing their level of independence. The maximum amount that can be claimed stands at </w:t>
      </w:r>
      <w:r w:rsidR="004824AF">
        <w:t xml:space="preserve">EUR </w:t>
      </w:r>
      <w:r w:rsidRPr="004824AF">
        <w:t xml:space="preserve">26,000. In 2011, the dependency insurance scheme paid out </w:t>
      </w:r>
      <w:r w:rsidR="004824AF">
        <w:t xml:space="preserve">EUR </w:t>
      </w:r>
      <w:r w:rsidRPr="004824AF">
        <w:t xml:space="preserve">4,310,913.93 for assistive devices, </w:t>
      </w:r>
      <w:r w:rsidR="004824AF">
        <w:t xml:space="preserve">EUR </w:t>
      </w:r>
      <w:r w:rsidRPr="004824AF">
        <w:t xml:space="preserve">36,000 of which went towards two guide dogs, one for a man in the 60-64 years age range and another for a woman in the 20-24 years age range (see section on article 20). A total of </w:t>
      </w:r>
      <w:r w:rsidR="004824AF">
        <w:t>EUR </w:t>
      </w:r>
      <w:r w:rsidRPr="004824AF">
        <w:t xml:space="preserve">356,488.13 was spent on building surveys and </w:t>
      </w:r>
      <w:r w:rsidR="004824AF">
        <w:t xml:space="preserve">EUR </w:t>
      </w:r>
      <w:r w:rsidRPr="004824AF">
        <w:t>697,912.26 on adapting the homes of persons with disabilities.</w:t>
      </w:r>
    </w:p>
    <w:p w:rsidR="00093627" w:rsidRPr="004824AF" w:rsidRDefault="00093627" w:rsidP="004824AF">
      <w:pPr>
        <w:pStyle w:val="ListParagraph"/>
      </w:pPr>
      <w:r w:rsidRPr="004824AF">
        <w:t xml:space="preserve">If the applicant rents, dependency insurance can cover the additional costs of moving to an adapted or adaptable home (max. </w:t>
      </w:r>
      <w:r w:rsidR="004824AF">
        <w:t xml:space="preserve">EUR </w:t>
      </w:r>
      <w:r w:rsidRPr="004824AF">
        <w:t xml:space="preserve">300 per month, up to a limit of </w:t>
      </w:r>
      <w:r w:rsidR="004824AF">
        <w:t xml:space="preserve">EUR </w:t>
      </w:r>
      <w:r w:rsidRPr="004824AF">
        <w:t xml:space="preserve">26,000). In 2011, a total of </w:t>
      </w:r>
      <w:r w:rsidR="004824AF">
        <w:t xml:space="preserve">EUR </w:t>
      </w:r>
      <w:r w:rsidRPr="004824AF">
        <w:t>8,400 was spent on rent subsidies.</w:t>
      </w:r>
    </w:p>
    <w:p w:rsidR="00093627" w:rsidRPr="004824AF" w:rsidRDefault="00093627" w:rsidP="004824AF">
      <w:pPr>
        <w:pStyle w:val="ListParagraph"/>
      </w:pPr>
      <w:r w:rsidRPr="004824AF">
        <w:t>Alongside traditional accommodation and with a view to promoting the greatest possible independence of persons with disabilities, the Ministry of Family has supported the development of facilities that offer care in open and semi-open settings. In 2012, the capacity of these home-help services run by eight organi</w:t>
      </w:r>
      <w:r w:rsidR="007E08F2">
        <w:t>s</w:t>
      </w:r>
      <w:r w:rsidRPr="004824AF">
        <w:t>ations accredited by the Ministry stood at 144 places.</w:t>
      </w:r>
    </w:p>
    <w:p w:rsidR="00093627" w:rsidRPr="004824AF" w:rsidRDefault="00093627" w:rsidP="004824AF">
      <w:pPr>
        <w:pStyle w:val="ListParagraph"/>
      </w:pPr>
      <w:r w:rsidRPr="004824AF">
        <w:t xml:space="preserve">Such assistance takes different forms depending on the skills, capacities and background of the person with disabilities. For example, it may take the form of counselling or support intended to encourage and empower the </w:t>
      </w:r>
      <w:proofErr w:type="gramStart"/>
      <w:r w:rsidRPr="004824AF">
        <w:t>person, or</w:t>
      </w:r>
      <w:proofErr w:type="gramEnd"/>
      <w:r w:rsidRPr="004824AF">
        <w:t xml:space="preserve"> help in making arrangements to compensate for the person’s disability so that he or she can enjoy high-quality independent living. These care measures are available on an ad hoc or regular basis, usually at the home of the person with disabilities. </w:t>
      </w:r>
    </w:p>
    <w:p w:rsidR="00093627" w:rsidRPr="004824AF" w:rsidRDefault="00093627" w:rsidP="004824AF">
      <w:pPr>
        <w:pStyle w:val="ListParagraph"/>
      </w:pPr>
      <w:r w:rsidRPr="004824AF">
        <w:t>State-accredited accommodation services for persons with disabilities provide accommodation and/or support to groups of three or more persons with disabilities. The aim is to offer professional support to persons with disabilities using a comprehensive and coherent approach by providing them with, on the one hand, help and care as defined in the amended Act of 19 June 1998 on the introduction of dependency insurance and, on the other, tailored socio-educational support.</w:t>
      </w:r>
    </w:p>
    <w:p w:rsidR="00093627" w:rsidRPr="004824AF" w:rsidRDefault="00093627" w:rsidP="004824AF">
      <w:pPr>
        <w:pStyle w:val="ListParagraph"/>
      </w:pPr>
      <w:r w:rsidRPr="004824AF">
        <w:lastRenderedPageBreak/>
        <w:t>In Luxembourg, persons with disabilities live together in small groups of around 8 to 10 persons in specialized institutions spread across the whole country.</w:t>
      </w:r>
    </w:p>
    <w:p w:rsidR="00093627" w:rsidRPr="004824AF" w:rsidRDefault="00093627" w:rsidP="004824AF">
      <w:pPr>
        <w:pStyle w:val="ListParagraph"/>
      </w:pPr>
      <w:r w:rsidRPr="004824AF">
        <w:t>The 2013 Agreement on Socio-Educational Support for Persons with Disabilities governs relations between the State and the bodies that manage accommodation and day-care services. It is in line with the principles underlying the Convention on the Rights of Persons with Disabilities and is designed to support the application of those principles.</w:t>
      </w:r>
    </w:p>
    <w:p w:rsidR="00093627" w:rsidRPr="004824AF" w:rsidRDefault="00093627" w:rsidP="004824AF">
      <w:pPr>
        <w:pStyle w:val="ListParagraph"/>
      </w:pPr>
      <w:r w:rsidRPr="004824AF">
        <w:t>The aim of socio-educational support is to provide the persons concerned with an environment that is conducive to their well-being, their physical, sensory, intellectual and emotional independence, and their inclusion, socialization and education. It is an ongoing comprehensive and holistic form of support that covers day-to-day living, health and security issues, social and cultural activities, the development of the individual’s physical, psychological, sensory and social abilities, and religious and philosophical guidance.</w:t>
      </w:r>
    </w:p>
    <w:p w:rsidR="00093627" w:rsidRPr="004824AF" w:rsidRDefault="00093627" w:rsidP="004824AF">
      <w:pPr>
        <w:pStyle w:val="ListParagraph"/>
      </w:pPr>
      <w:r w:rsidRPr="004824AF">
        <w:t xml:space="preserve">Socio-educational support is based on the abilities of the individual concerned. It </w:t>
      </w:r>
      <w:proofErr w:type="gramStart"/>
      <w:r w:rsidRPr="004824AF">
        <w:t>takes into account</w:t>
      </w:r>
      <w:proofErr w:type="gramEnd"/>
      <w:r w:rsidRPr="004824AF">
        <w:t xml:space="preserve"> the lifestyle, available resources, history, family and social background, wishes and life choices of the individual and, where appropriate, their legal representative.</w:t>
      </w:r>
    </w:p>
    <w:p w:rsidR="00093627" w:rsidRPr="004824AF" w:rsidRDefault="00093627" w:rsidP="004824AF">
      <w:pPr>
        <w:pStyle w:val="ListParagraph"/>
      </w:pPr>
      <w:r w:rsidRPr="004824AF">
        <w:t xml:space="preserve">Socio-educational support for </w:t>
      </w:r>
      <w:proofErr w:type="gramStart"/>
      <w:r w:rsidRPr="004824AF">
        <w:t>each individual</w:t>
      </w:r>
      <w:proofErr w:type="gramEnd"/>
      <w:r w:rsidRPr="004824AF">
        <w:t xml:space="preserve"> is defined in a “personalized socio-educational support plan”. The services provided are determined </w:t>
      </w:r>
      <w:proofErr w:type="gramStart"/>
      <w:r w:rsidRPr="004824AF">
        <w:t>on the basis of</w:t>
      </w:r>
      <w:proofErr w:type="gramEnd"/>
      <w:r w:rsidRPr="004824AF">
        <w:t xml:space="preserve"> an initial evaluation and regular assessments of the needs, expectations and state of health of the person concerned, in consultation with that person and/or the person’s family and friends.</w:t>
      </w:r>
    </w:p>
    <w:p w:rsidR="00093627" w:rsidRPr="004824AF" w:rsidRDefault="00093627" w:rsidP="004824AF">
      <w:pPr>
        <w:pStyle w:val="ListParagraph"/>
      </w:pPr>
      <w:r w:rsidRPr="004824AF">
        <w:t>In 2012, the capacity of the 39 accommodation centres run by the 11 organi</w:t>
      </w:r>
      <w:r w:rsidR="004824AF">
        <w:t>s</w:t>
      </w:r>
      <w:r w:rsidRPr="004824AF">
        <w:t xml:space="preserve">ations accredited by the Ministry of Family stood at 787 beds, of which 49 were temporary. As at 31 December 2012, 35 beds were occupied by minors in centres run by </w:t>
      </w:r>
      <w:r w:rsidR="004824AF">
        <w:t>four</w:t>
      </w:r>
      <w:r w:rsidRPr="004824AF">
        <w:t xml:space="preserve"> different organi</w:t>
      </w:r>
      <w:r w:rsidR="004824AF">
        <w:t>s</w:t>
      </w:r>
      <w:r w:rsidRPr="004824AF">
        <w:t>ations.</w:t>
      </w:r>
    </w:p>
    <w:p w:rsidR="00093627" w:rsidRPr="004824AF" w:rsidRDefault="00093627" w:rsidP="004824AF">
      <w:pPr>
        <w:pStyle w:val="ListParagraph"/>
      </w:pPr>
      <w:r w:rsidRPr="004824AF">
        <w:t>Day-care services for persons with disabilities provide not just care and assistance but also socio-educational and therapeutic support in the form of a variety of activities tailored to the individual needs and expectations of the person with disabilities. Day-care services look after persons with disabilities who, owing to their disability or age, cannot regularly attend a vocational training course or hold down a permanent job. The aim is to provide professional and multidisciplinary support to persons with disabilities and to support families caring for a person with disabilities. In 2012, the capacity of the 16 day-care centres run by the 11 organi</w:t>
      </w:r>
      <w:r w:rsidR="004824AF">
        <w:t>s</w:t>
      </w:r>
      <w:r w:rsidRPr="004824AF">
        <w:t xml:space="preserve">ations accredited by the Ministry of Family stood at 435 places, of which 220 were for persons with disabilities not living in State-approved accommodation. Some 23 places were occupied by minors in centres run by </w:t>
      </w:r>
      <w:r w:rsidR="004824AF">
        <w:t>four</w:t>
      </w:r>
      <w:r w:rsidRPr="004824AF">
        <w:t xml:space="preserve"> different organi</w:t>
      </w:r>
      <w:r w:rsidR="004824AF">
        <w:t>s</w:t>
      </w:r>
      <w:r w:rsidRPr="004824AF">
        <w:t xml:space="preserve">ations. </w:t>
      </w:r>
    </w:p>
    <w:p w:rsidR="00093627" w:rsidRPr="00B92503" w:rsidRDefault="00093627" w:rsidP="004824AF">
      <w:pPr>
        <w:pStyle w:val="ListParagraph"/>
      </w:pPr>
      <w:r w:rsidRPr="004824AF">
        <w:t xml:space="preserve">The Home-based psychiatric service for adults and adolescents provides support in the person's home environment. It aims to provide psychiatric follow-up at home to any person with one or more mental disabilities. The service is made up of two distinct </w:t>
      </w:r>
      <w:r w:rsidRPr="00B92503">
        <w:t>sections for different target groups. The first section focuses on follow-up treatment for adults, while the second section focuses on support for children/adolescents and their families. The second section, which has been operating since July 2009, offers support aimed at successfully reintegrating the child or adolescent into family and social life.</w:t>
      </w:r>
    </w:p>
    <w:p w:rsidR="00093627" w:rsidRPr="00B92503" w:rsidRDefault="00093627" w:rsidP="00B92503">
      <w:pPr>
        <w:rPr>
          <w:rFonts w:cs="Arial"/>
          <w:szCs w:val="24"/>
          <w:lang w:val="fr-CH"/>
        </w:rPr>
      </w:pPr>
      <w:proofErr w:type="spellStart"/>
      <w:r w:rsidRPr="00B92503">
        <w:rPr>
          <w:rFonts w:cs="Arial"/>
          <w:szCs w:val="24"/>
          <w:lang w:val="fr-CH"/>
        </w:rPr>
        <w:lastRenderedPageBreak/>
        <w:t>Taken</w:t>
      </w:r>
      <w:proofErr w:type="spellEnd"/>
      <w:r w:rsidRPr="00B92503">
        <w:rPr>
          <w:rFonts w:cs="Arial"/>
          <w:szCs w:val="24"/>
          <w:lang w:val="fr-CH"/>
        </w:rPr>
        <w:t xml:space="preserve"> </w:t>
      </w:r>
      <w:proofErr w:type="spellStart"/>
      <w:r w:rsidRPr="00B92503">
        <w:rPr>
          <w:rFonts w:cs="Arial"/>
          <w:szCs w:val="24"/>
          <w:lang w:val="fr-CH"/>
        </w:rPr>
        <w:t>from</w:t>
      </w:r>
      <w:proofErr w:type="spellEnd"/>
      <w:r w:rsidRPr="00B92503">
        <w:rPr>
          <w:rFonts w:cs="Arial"/>
          <w:szCs w:val="24"/>
          <w:lang w:val="fr-CH"/>
        </w:rPr>
        <w:t xml:space="preserve"> the First State Report of Luxembourg (</w:t>
      </w:r>
      <w:r w:rsidRPr="00B92503">
        <w:rPr>
          <w:rFonts w:cs="Arial"/>
          <w:i/>
          <w:szCs w:val="24"/>
          <w:lang w:val="fr-CH"/>
        </w:rPr>
        <w:t xml:space="preserve">Examen des rapports soumis par les </w:t>
      </w:r>
      <w:proofErr w:type="spellStart"/>
      <w:r w:rsidRPr="00B92503">
        <w:rPr>
          <w:rFonts w:cs="Arial"/>
          <w:i/>
          <w:szCs w:val="24"/>
          <w:lang w:val="fr-CH"/>
        </w:rPr>
        <w:t>États</w:t>
      </w:r>
      <w:proofErr w:type="spellEnd"/>
      <w:r w:rsidRPr="00B92503">
        <w:rPr>
          <w:rFonts w:cs="Arial"/>
          <w:i/>
          <w:szCs w:val="24"/>
          <w:lang w:val="fr-CH"/>
        </w:rPr>
        <w:t xml:space="preserve"> parties en application de l’article 35 de la Convention - Rapports initiaux des </w:t>
      </w:r>
      <w:proofErr w:type="spellStart"/>
      <w:r w:rsidRPr="00B92503">
        <w:rPr>
          <w:rFonts w:cs="Arial"/>
          <w:i/>
          <w:szCs w:val="24"/>
          <w:lang w:val="fr-CH"/>
        </w:rPr>
        <w:t>États</w:t>
      </w:r>
      <w:proofErr w:type="spellEnd"/>
      <w:r w:rsidRPr="00B92503">
        <w:rPr>
          <w:rFonts w:cs="Arial"/>
          <w:i/>
          <w:szCs w:val="24"/>
          <w:lang w:val="fr-CH"/>
        </w:rPr>
        <w:t xml:space="preserve"> parties attendus en 2013 Luxembourg points 183-215</w:t>
      </w:r>
      <w:r w:rsidRPr="00B92503">
        <w:rPr>
          <w:rFonts w:cs="Arial"/>
          <w:szCs w:val="24"/>
          <w:lang w:val="fr-CH"/>
        </w:rPr>
        <w:t>)</w:t>
      </w:r>
      <w:r w:rsidR="004824AF">
        <w:rPr>
          <w:rFonts w:cs="Arial"/>
          <w:szCs w:val="24"/>
          <w:lang w:val="fr-CH"/>
        </w:rPr>
        <w:t>.</w:t>
      </w:r>
      <w:r w:rsidRPr="00B92503">
        <w:rPr>
          <w:rStyle w:val="FootnoteReference"/>
          <w:rFonts w:cs="Arial"/>
          <w:sz w:val="24"/>
          <w:szCs w:val="24"/>
          <w:lang w:val="fr-CH"/>
        </w:rPr>
        <w:footnoteReference w:id="123"/>
      </w:r>
    </w:p>
    <w:p w:rsidR="007B3653" w:rsidRPr="00B92503" w:rsidRDefault="007B3653" w:rsidP="00B92503">
      <w:pPr>
        <w:rPr>
          <w:rFonts w:cs="Arial"/>
          <w:szCs w:val="24"/>
          <w:lang w:val="fr-CH"/>
        </w:rPr>
      </w:pPr>
    </w:p>
    <w:p w:rsidR="007B3653" w:rsidRPr="00B92503" w:rsidRDefault="007B3653" w:rsidP="00B92503">
      <w:pPr>
        <w:rPr>
          <w:rFonts w:cs="Arial"/>
          <w:b/>
          <w:szCs w:val="24"/>
          <w:lang w:val="en-US"/>
        </w:rPr>
      </w:pPr>
      <w:r w:rsidRPr="00B92503">
        <w:rPr>
          <w:rFonts w:cs="Arial"/>
          <w:b/>
          <w:szCs w:val="24"/>
          <w:lang w:val="en-US"/>
        </w:rPr>
        <w:t>Shadow report</w:t>
      </w:r>
      <w:r w:rsidRPr="00B92503">
        <w:rPr>
          <w:rFonts w:cs="Arial"/>
          <w:b/>
          <w:szCs w:val="24"/>
        </w:rPr>
        <w:t xml:space="preserve">: </w:t>
      </w:r>
      <w:r w:rsidR="000C141B" w:rsidRPr="00B92503">
        <w:rPr>
          <w:rFonts w:cs="Arial"/>
          <w:b/>
          <w:szCs w:val="24"/>
        </w:rPr>
        <w:t>Authentic</w:t>
      </w:r>
      <w:r w:rsidR="00E1309A" w:rsidRPr="00B92503">
        <w:rPr>
          <w:rFonts w:cs="Arial"/>
          <w:b/>
          <w:szCs w:val="24"/>
        </w:rPr>
        <w:t xml:space="preserve"> narrativ</w:t>
      </w:r>
      <w:r w:rsidR="000C141B" w:rsidRPr="00B92503">
        <w:rPr>
          <w:rFonts w:cs="Arial"/>
          <w:b/>
          <w:szCs w:val="24"/>
        </w:rPr>
        <w:t>e</w:t>
      </w:r>
      <w:r w:rsidRPr="00B92503">
        <w:rPr>
          <w:rFonts w:cs="Arial"/>
          <w:b/>
          <w:szCs w:val="24"/>
        </w:rPr>
        <w:t xml:space="preserve"> </w:t>
      </w:r>
      <w:r w:rsidRPr="00B92503">
        <w:rPr>
          <w:rFonts w:cs="Arial"/>
          <w:b/>
          <w:szCs w:val="24"/>
          <w:lang w:val="en-US"/>
        </w:rPr>
        <w:t>about problematic housing in</w:t>
      </w:r>
      <w:r w:rsidRPr="00B92503">
        <w:rPr>
          <w:rFonts w:cs="Arial"/>
          <w:szCs w:val="24"/>
          <w:lang w:val="en-US"/>
        </w:rPr>
        <w:t xml:space="preserve"> </w:t>
      </w:r>
      <w:r w:rsidRPr="00B92503">
        <w:rPr>
          <w:rFonts w:cs="Arial"/>
          <w:b/>
          <w:szCs w:val="24"/>
          <w:lang w:val="en-US"/>
        </w:rPr>
        <w:t>Luxembourg</w:t>
      </w:r>
      <w:r w:rsidRPr="00B92503">
        <w:rPr>
          <w:rStyle w:val="FootnoteReference"/>
          <w:rFonts w:cs="Arial"/>
          <w:sz w:val="24"/>
          <w:szCs w:val="24"/>
        </w:rPr>
        <w:footnoteReference w:id="124"/>
      </w:r>
    </w:p>
    <w:p w:rsidR="004170A4" w:rsidRPr="00B92503" w:rsidRDefault="004170A4" w:rsidP="00B92503">
      <w:pPr>
        <w:rPr>
          <w:rFonts w:cs="Arial"/>
          <w:b/>
          <w:szCs w:val="24"/>
          <w:lang w:val="en-US"/>
        </w:rPr>
      </w:pPr>
    </w:p>
    <w:p w:rsidR="007B3653" w:rsidRPr="00B92503" w:rsidRDefault="007B3653" w:rsidP="004824AF">
      <w:r w:rsidRPr="00B92503">
        <w:t xml:space="preserve">An adult person (living in a specialized nursing home reported of their experiences: The person in question needs assistance for all acts of daily life and thus relies nursing home staff for these acts, which include getting from or into their wheelchair, dressing, eating, washing. The person reported staff being continuously pressed for time. </w:t>
      </w:r>
      <w:r w:rsidR="004824AF">
        <w:t>Five</w:t>
      </w:r>
      <w:r w:rsidRPr="00B92503">
        <w:t xml:space="preserve"> days a week, the person is ‘put to bed’ at 19 o’clock. </w:t>
      </w:r>
      <w:r w:rsidR="004824AF">
        <w:t>Two</w:t>
      </w:r>
      <w:r w:rsidRPr="00B92503">
        <w:t xml:space="preserve"> nights a week bedtime is set at 21 o'clock. Accompaniment to social or cultural outings, such as going to a concert, </w:t>
      </w:r>
      <w:proofErr w:type="gramStart"/>
      <w:r w:rsidRPr="00B92503">
        <w:t>has to</w:t>
      </w:r>
      <w:proofErr w:type="gramEnd"/>
      <w:r w:rsidRPr="00B92503">
        <w:t xml:space="preserve"> be requested weeks or even months in advance. Accompaniment by staff is not guaranteed as staff can deny requests. When it comes to food, time and options are limited. There are supposed to be </w:t>
      </w:r>
      <w:r w:rsidR="004824AF">
        <w:t>three</w:t>
      </w:r>
      <w:r w:rsidRPr="00B92503">
        <w:t xml:space="preserve"> different dishes to choose from, but this is not always put into practice. Ordering food from outside is possible but complicated, since the person in question needs assistance with eating, and assistance is only available during a brief </w:t>
      </w:r>
      <w:proofErr w:type="gramStart"/>
      <w:r w:rsidRPr="00B92503">
        <w:t>period of time</w:t>
      </w:r>
      <w:proofErr w:type="gramEnd"/>
      <w:r w:rsidRPr="00B92503">
        <w:t xml:space="preserve"> per meal. The person added that there are no community rooms open to residents for socializing which can result in isolation of residents. </w:t>
      </w:r>
    </w:p>
    <w:p w:rsidR="007B3653" w:rsidRPr="00B92503" w:rsidRDefault="007B3653" w:rsidP="00B92503">
      <w:pPr>
        <w:rPr>
          <w:rFonts w:cs="Arial"/>
          <w:szCs w:val="24"/>
        </w:rPr>
      </w:pPr>
    </w:p>
    <w:sectPr w:rsidR="007B3653" w:rsidRPr="00B92503" w:rsidSect="004170A4">
      <w:headerReference w:type="default" r:id="rId15"/>
      <w:footerReference w:type="default" r:id="rId16"/>
      <w:pgSz w:w="11899" w:h="16838" w:code="9"/>
      <w:pgMar w:top="1560" w:right="1418" w:bottom="1418" w:left="1418" w:header="0" w:footer="414"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5DC" w:rsidRDefault="009E55DC" w:rsidP="00D9246D">
      <w:r>
        <w:separator/>
      </w:r>
    </w:p>
  </w:endnote>
  <w:endnote w:type="continuationSeparator" w:id="0">
    <w:p w:rsidR="009E55DC" w:rsidRDefault="009E55DC" w:rsidP="00D9246D">
      <w:r>
        <w:continuationSeparator/>
      </w:r>
    </w:p>
  </w:endnote>
  <w:endnote w:type="continuationNotice" w:id="1">
    <w:p w:rsidR="009E55DC" w:rsidRDefault="009E5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DC" w:rsidRDefault="009E55DC">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5DC" w:rsidRDefault="009E55DC" w:rsidP="00D9246D">
      <w:r>
        <w:separator/>
      </w:r>
    </w:p>
  </w:footnote>
  <w:footnote w:type="continuationSeparator" w:id="0">
    <w:p w:rsidR="009E55DC" w:rsidRDefault="009E55DC" w:rsidP="00D9246D">
      <w:r>
        <w:continuationSeparator/>
      </w:r>
    </w:p>
  </w:footnote>
  <w:footnote w:type="continuationNotice" w:id="1">
    <w:p w:rsidR="009E55DC" w:rsidRPr="00724CFC" w:rsidRDefault="009E55DC">
      <w:pPr>
        <w:rPr>
          <w:sz w:val="2"/>
          <w:szCs w:val="2"/>
        </w:rPr>
      </w:pPr>
    </w:p>
  </w:footnote>
  <w:footnote w:id="2">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lang w:val="en-US"/>
        </w:rPr>
        <w:t xml:space="preserve"> </w:t>
      </w:r>
      <w:r w:rsidRPr="00B92503">
        <w:rPr>
          <w:rFonts w:cs="Arial"/>
          <w:lang w:val="en-US"/>
        </w:rPr>
        <w:tab/>
        <w:t>OECD 2019 (</w:t>
      </w:r>
      <w:proofErr w:type="spellStart"/>
      <w:r w:rsidRPr="00B92503">
        <w:rPr>
          <w:rFonts w:cs="Arial"/>
          <w:lang w:val="en-US"/>
        </w:rPr>
        <w:t>OECD.stat</w:t>
      </w:r>
      <w:proofErr w:type="spellEnd"/>
      <w:r w:rsidRPr="00B92503">
        <w:rPr>
          <w:rFonts w:cs="Arial"/>
          <w:lang w:val="en-US"/>
        </w:rPr>
        <w:t xml:space="preserve"> </w:t>
      </w:r>
      <w:proofErr w:type="spellStart"/>
      <w:r w:rsidRPr="00B92503">
        <w:rPr>
          <w:rFonts w:cs="Arial"/>
          <w:lang w:val="en-US"/>
        </w:rPr>
        <w:t>Hompage</w:t>
      </w:r>
      <w:proofErr w:type="spellEnd"/>
      <w:r w:rsidRPr="00B92503">
        <w:rPr>
          <w:rFonts w:cs="Arial"/>
          <w:lang w:val="en-US"/>
        </w:rPr>
        <w:t xml:space="preserve">) The footnote to the WHO data contains the following entry: </w:t>
      </w:r>
      <w:r w:rsidRPr="00B92503">
        <w:rPr>
          <w:rFonts w:cs="Arial"/>
          <w:i/>
          <w:lang w:val="en-US"/>
        </w:rPr>
        <w:t xml:space="preserve">Luxembourg. Source: </w:t>
      </w:r>
      <w:proofErr w:type="spellStart"/>
      <w:r w:rsidRPr="00B92503">
        <w:rPr>
          <w:rFonts w:cs="Arial"/>
          <w:i/>
          <w:lang w:val="en-US"/>
        </w:rPr>
        <w:t>Fichiers</w:t>
      </w:r>
      <w:proofErr w:type="spellEnd"/>
      <w:r w:rsidRPr="00B92503">
        <w:rPr>
          <w:rFonts w:cs="Arial"/>
          <w:i/>
          <w:lang w:val="en-US"/>
        </w:rPr>
        <w:t xml:space="preserve"> de la </w:t>
      </w:r>
      <w:proofErr w:type="spellStart"/>
      <w:r w:rsidRPr="00B92503">
        <w:rPr>
          <w:rFonts w:cs="Arial"/>
          <w:i/>
          <w:lang w:val="en-US"/>
        </w:rPr>
        <w:t>sécurité</w:t>
      </w:r>
      <w:proofErr w:type="spellEnd"/>
      <w:r w:rsidRPr="00B92503">
        <w:rPr>
          <w:rFonts w:cs="Arial"/>
          <w:i/>
          <w:lang w:val="en-US"/>
        </w:rPr>
        <w:t xml:space="preserve"> </w:t>
      </w:r>
      <w:proofErr w:type="spellStart"/>
      <w:r w:rsidRPr="00B92503">
        <w:rPr>
          <w:rFonts w:cs="Arial"/>
          <w:i/>
          <w:lang w:val="en-US"/>
        </w:rPr>
        <w:t>sociale</w:t>
      </w:r>
      <w:proofErr w:type="spellEnd"/>
      <w:r w:rsidRPr="00B92503">
        <w:rPr>
          <w:rFonts w:cs="Arial"/>
          <w:i/>
          <w:lang w:val="en-US"/>
        </w:rPr>
        <w:t>. Data prepared by General Inspectorate of Social Security (IGSS). Coverage: Data only cover long-term care insurance recipients. - Preliminary results for 2016. - Data refer to numbers as of 31st December every year. No brake down by disability</w:t>
      </w:r>
      <w:r w:rsidRPr="00B92503">
        <w:rPr>
          <w:rFonts w:cs="Arial"/>
          <w:lang w:val="en-US"/>
        </w:rPr>
        <w:t xml:space="preserve">. </w:t>
      </w:r>
      <w:hyperlink r:id="rId1" w:history="1">
        <w:r w:rsidRPr="00B92503">
          <w:rPr>
            <w:rStyle w:val="Hyperlink"/>
            <w:rFonts w:cs="Arial"/>
            <w:lang w:val="en-US"/>
          </w:rPr>
          <w:t>https://stats.oecd.org/Index.aspx?QueryId=30142&amp;_ga=2.7185588.722996396.1547661294-1828482028.1541880394</w:t>
        </w:r>
      </w:hyperlink>
      <w:bookmarkStart w:id="10" w:name="_Hlk4157733"/>
      <w:r w:rsidRPr="00B92503">
        <w:rPr>
          <w:rFonts w:cs="Arial"/>
          <w:lang w:val="en-US"/>
        </w:rPr>
        <w:t>.</w:t>
      </w:r>
      <w:bookmarkEnd w:id="10"/>
      <w:r w:rsidRPr="00B92503">
        <w:rPr>
          <w:rFonts w:cs="Arial"/>
          <w:lang w:val="en-US"/>
        </w:rPr>
        <w:t xml:space="preserve"> </w:t>
      </w:r>
    </w:p>
  </w:footnote>
  <w:footnote w:id="3">
    <w:p w:rsidR="009E55DC" w:rsidRPr="00B92503" w:rsidRDefault="009E55DC" w:rsidP="00B92503">
      <w:pPr>
        <w:pStyle w:val="FootnoteText"/>
        <w:ind w:left="284" w:hanging="284"/>
        <w:jc w:val="left"/>
        <w:rPr>
          <w:rFonts w:cs="Arial"/>
          <w:lang w:val="de-DE"/>
        </w:rPr>
      </w:pPr>
      <w:r w:rsidRPr="00B92503">
        <w:rPr>
          <w:rStyle w:val="FootnoteReference"/>
          <w:rFonts w:cs="Arial"/>
        </w:rPr>
        <w:footnoteRef/>
      </w:r>
      <w:r w:rsidRPr="00B92503">
        <w:rPr>
          <w:rFonts w:cs="Arial"/>
          <w:lang w:val="de-DE"/>
        </w:rPr>
        <w:t xml:space="preserve"> </w:t>
      </w:r>
      <w:r w:rsidRPr="00B92503">
        <w:rPr>
          <w:rFonts w:cs="Arial"/>
          <w:lang w:val="de-DE"/>
        </w:rPr>
        <w:tab/>
        <w:t xml:space="preserve">Rössler, W., Salize, H.J., Häfner, H. (1993). </w:t>
      </w:r>
      <w:r w:rsidRPr="007E08F2">
        <w:rPr>
          <w:rFonts w:cs="Arial"/>
          <w:i/>
          <w:lang w:val="de-DE"/>
        </w:rPr>
        <w:t>Bestandsaufnahme der psychiatrischen Versorgung in Luxembourg -Zusammenfassung und Schlußfolgerungen, Empfehlungen zur Weiterentwicklung der psychiatrischen Versorgung. Mannheim: Zentralinstitut für Seelische Gesundheit</w:t>
      </w:r>
      <w:r w:rsidRPr="00B92503">
        <w:rPr>
          <w:rFonts w:cs="Arial"/>
          <w:lang w:val="de-DE"/>
        </w:rPr>
        <w:t>.</w:t>
      </w:r>
    </w:p>
  </w:footnote>
  <w:footnote w:id="4">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6C2378">
        <w:rPr>
          <w:rFonts w:cs="Arial"/>
          <w:lang w:val="fr-FR"/>
        </w:rPr>
        <w:t xml:space="preserve"> </w:t>
      </w:r>
      <w:r w:rsidRPr="006C2378">
        <w:rPr>
          <w:rFonts w:cs="Arial"/>
          <w:lang w:val="fr-FR"/>
        </w:rPr>
        <w:tab/>
      </w:r>
      <w:proofErr w:type="spellStart"/>
      <w:r w:rsidRPr="006C2378">
        <w:rPr>
          <w:rFonts w:cs="Arial"/>
          <w:lang w:val="fr-FR"/>
        </w:rPr>
        <w:t>Rössler</w:t>
      </w:r>
      <w:proofErr w:type="spellEnd"/>
      <w:r w:rsidRPr="006C2378">
        <w:rPr>
          <w:rFonts w:cs="Arial"/>
          <w:lang w:val="fr-FR"/>
        </w:rPr>
        <w:t xml:space="preserve"> W. (2005) </w:t>
      </w:r>
      <w:proofErr w:type="spellStart"/>
      <w:r w:rsidRPr="006C2378">
        <w:rPr>
          <w:rFonts w:cs="Arial"/>
          <w:lang w:val="fr-FR"/>
        </w:rPr>
        <w:t>Psychiatry</w:t>
      </w:r>
      <w:proofErr w:type="spellEnd"/>
      <w:r w:rsidRPr="006C2378">
        <w:rPr>
          <w:rFonts w:cs="Arial"/>
          <w:lang w:val="fr-FR"/>
        </w:rPr>
        <w:t xml:space="preserve"> Luxembourg. </w:t>
      </w:r>
      <w:proofErr w:type="gramStart"/>
      <w:r w:rsidRPr="006C2378">
        <w:rPr>
          <w:rFonts w:cs="Arial"/>
          <w:lang w:val="fr-FR"/>
        </w:rPr>
        <w:t>Luxembourg:</w:t>
      </w:r>
      <w:proofErr w:type="gramEnd"/>
      <w:r w:rsidRPr="006C2378">
        <w:rPr>
          <w:rFonts w:cs="Arial"/>
          <w:lang w:val="fr-FR"/>
        </w:rPr>
        <w:t xml:space="preserve"> </w:t>
      </w:r>
      <w:r w:rsidRPr="006C2378">
        <w:rPr>
          <w:rFonts w:cs="Arial"/>
          <w:i/>
          <w:lang w:val="fr-FR"/>
        </w:rPr>
        <w:t>Ministère de la Santé publique</w:t>
      </w:r>
      <w:r w:rsidRPr="006C2378">
        <w:rPr>
          <w:rFonts w:cs="Arial"/>
          <w:lang w:val="fr-FR"/>
        </w:rPr>
        <w:t xml:space="preserve">. </w:t>
      </w:r>
      <w:hyperlink r:id="rId2" w:history="1">
        <w:r w:rsidRPr="00B92503">
          <w:rPr>
            <w:rStyle w:val="Hyperlink"/>
            <w:rFonts w:cs="Arial"/>
            <w:lang w:val="fr-CH"/>
          </w:rPr>
          <w:t>http://www.sante.public.lu/publications/systeme-sante/politique-nationale-sante/rapport-rossler-psychiatrie-luxembourg-planungsstudie-2005-bestandeserhebung/rapport-rossler-psychiatrie-luxembourg-planungsstudie-2005-bestandeserhebung.pdf</w:t>
        </w:r>
      </w:hyperlink>
      <w:r w:rsidRPr="00B92503">
        <w:rPr>
          <w:rFonts w:cs="Arial"/>
          <w:lang w:val="fr-CH"/>
        </w:rPr>
        <w:t xml:space="preserve">. </w:t>
      </w:r>
      <w:proofErr w:type="spellStart"/>
      <w:r w:rsidRPr="00B92503">
        <w:rPr>
          <w:rFonts w:cs="Arial"/>
          <w:lang w:val="fr-CH"/>
        </w:rPr>
        <w:t>Website</w:t>
      </w:r>
      <w:proofErr w:type="spellEnd"/>
      <w:r w:rsidRPr="00B92503">
        <w:rPr>
          <w:rFonts w:cs="Arial"/>
          <w:lang w:val="fr-CH"/>
        </w:rPr>
        <w:t xml:space="preserve"> no longer </w:t>
      </w:r>
      <w:proofErr w:type="spellStart"/>
      <w:r w:rsidRPr="00B92503">
        <w:rPr>
          <w:rFonts w:cs="Arial"/>
          <w:lang w:val="fr-CH"/>
        </w:rPr>
        <w:t>available</w:t>
      </w:r>
      <w:proofErr w:type="spellEnd"/>
      <w:r w:rsidRPr="00B92503">
        <w:rPr>
          <w:rFonts w:cs="Arial"/>
          <w:lang w:val="fr-CH"/>
        </w:rPr>
        <w:t xml:space="preserve">. </w:t>
      </w:r>
      <w:proofErr w:type="spellStart"/>
      <w:r w:rsidRPr="00B92503">
        <w:rPr>
          <w:rFonts w:cs="Arial"/>
          <w:lang w:val="fr-CH"/>
        </w:rPr>
        <w:t>See</w:t>
      </w:r>
      <w:proofErr w:type="spellEnd"/>
      <w:r w:rsidRPr="00B92503">
        <w:rPr>
          <w:rFonts w:cs="Arial"/>
          <w:lang w:val="fr-CH"/>
        </w:rPr>
        <w:t xml:space="preserve"> </w:t>
      </w:r>
      <w:proofErr w:type="spellStart"/>
      <w:r w:rsidRPr="00B92503">
        <w:rPr>
          <w:rFonts w:cs="Arial"/>
          <w:lang w:val="fr-CH"/>
        </w:rPr>
        <w:t>following</w:t>
      </w:r>
      <w:proofErr w:type="spellEnd"/>
      <w:r w:rsidRPr="00B92503">
        <w:rPr>
          <w:rFonts w:cs="Arial"/>
          <w:lang w:val="fr-CH"/>
        </w:rPr>
        <w:t xml:space="preserve"> </w:t>
      </w:r>
      <w:proofErr w:type="spellStart"/>
      <w:proofErr w:type="gramStart"/>
      <w:r w:rsidRPr="00B92503">
        <w:rPr>
          <w:rFonts w:cs="Arial"/>
          <w:lang w:val="fr-CH"/>
        </w:rPr>
        <w:t>footnote</w:t>
      </w:r>
      <w:proofErr w:type="spellEnd"/>
      <w:r w:rsidRPr="00B92503">
        <w:rPr>
          <w:rFonts w:cs="Arial"/>
          <w:lang w:val="fr-CH"/>
        </w:rPr>
        <w:t>:</w:t>
      </w:r>
      <w:proofErr w:type="gramEnd"/>
    </w:p>
  </w:footnote>
  <w:footnote w:id="5">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fr-CH"/>
        </w:rPr>
        <w:t xml:space="preserve"> </w:t>
      </w:r>
      <w:r w:rsidRPr="00B92503">
        <w:rPr>
          <w:rFonts w:cs="Arial"/>
          <w:lang w:val="fr-CH"/>
        </w:rPr>
        <w:tab/>
        <w:t xml:space="preserve">Rapport </w:t>
      </w:r>
      <w:proofErr w:type="spellStart"/>
      <w:r w:rsidRPr="00B92503">
        <w:rPr>
          <w:rFonts w:cs="Arial"/>
          <w:lang w:val="fr-CH"/>
        </w:rPr>
        <w:t>Rössler</w:t>
      </w:r>
      <w:proofErr w:type="spellEnd"/>
      <w:r w:rsidRPr="00B92503">
        <w:rPr>
          <w:rFonts w:cs="Arial"/>
          <w:lang w:val="fr-CH"/>
        </w:rPr>
        <w:t xml:space="preserve"> «</w:t>
      </w:r>
      <w:r w:rsidRPr="007E08F2">
        <w:rPr>
          <w:rFonts w:cs="Arial"/>
          <w:i/>
          <w:lang w:val="fr-CH"/>
        </w:rPr>
        <w:t xml:space="preserve">Psychiatrie Luxembourg </w:t>
      </w:r>
      <w:proofErr w:type="spellStart"/>
      <w:r w:rsidRPr="007E08F2">
        <w:rPr>
          <w:rFonts w:cs="Arial"/>
          <w:i/>
          <w:lang w:val="fr-CH"/>
        </w:rPr>
        <w:t>Planungsstudie</w:t>
      </w:r>
      <w:proofErr w:type="spellEnd"/>
      <w:r w:rsidRPr="007E08F2">
        <w:rPr>
          <w:rFonts w:cs="Arial"/>
          <w:i/>
          <w:lang w:val="fr-CH"/>
        </w:rPr>
        <w:t xml:space="preserve"> 2005: </w:t>
      </w:r>
      <w:proofErr w:type="spellStart"/>
      <w:r w:rsidRPr="007E08F2">
        <w:rPr>
          <w:rFonts w:cs="Arial"/>
          <w:i/>
          <w:lang w:val="fr-CH"/>
        </w:rPr>
        <w:t>Bestandaufnahme</w:t>
      </w:r>
      <w:proofErr w:type="spellEnd"/>
      <w:r w:rsidRPr="007E08F2">
        <w:rPr>
          <w:rFonts w:cs="Arial"/>
          <w:i/>
          <w:lang w:val="fr-CH"/>
        </w:rPr>
        <w:t xml:space="preserve"> </w:t>
      </w:r>
      <w:proofErr w:type="spellStart"/>
      <w:r w:rsidRPr="007E08F2">
        <w:rPr>
          <w:rFonts w:cs="Arial"/>
          <w:i/>
          <w:lang w:val="fr-CH"/>
        </w:rPr>
        <w:t>und</w:t>
      </w:r>
      <w:proofErr w:type="spellEnd"/>
      <w:r w:rsidRPr="007E08F2">
        <w:rPr>
          <w:rFonts w:cs="Arial"/>
          <w:i/>
          <w:lang w:val="fr-CH"/>
        </w:rPr>
        <w:t xml:space="preserve"> </w:t>
      </w:r>
      <w:proofErr w:type="spellStart"/>
      <w:r w:rsidRPr="007E08F2">
        <w:rPr>
          <w:rFonts w:cs="Arial"/>
          <w:i/>
          <w:lang w:val="fr-CH"/>
        </w:rPr>
        <w:t>Empfehlungen</w:t>
      </w:r>
      <w:proofErr w:type="spellEnd"/>
      <w:r w:rsidRPr="00B92503">
        <w:rPr>
          <w:rFonts w:cs="Arial"/>
          <w:lang w:val="fr-CH"/>
        </w:rPr>
        <w:t xml:space="preserve">» </w:t>
      </w:r>
      <w:hyperlink r:id="rId3" w:history="1">
        <w:r w:rsidRPr="00B92503">
          <w:rPr>
            <w:rStyle w:val="Hyperlink"/>
            <w:rFonts w:cs="Arial"/>
            <w:lang w:val="fr-CH"/>
          </w:rPr>
          <w:t>http://sante.public.lu/fr/publications/r/rapport-rossler-psychiatrie-lux-planungsstudie-2005-bestandaufnahme/index.html</w:t>
        </w:r>
      </w:hyperlink>
      <w:r w:rsidRPr="00B92503">
        <w:rPr>
          <w:rFonts w:cs="Arial"/>
          <w:lang w:val="fr-CH"/>
        </w:rPr>
        <w:t xml:space="preserve">. </w:t>
      </w:r>
    </w:p>
  </w:footnote>
  <w:footnote w:id="6">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rPr>
        <w:t xml:space="preserve"> </w:t>
      </w:r>
      <w:r w:rsidRPr="00B92503">
        <w:rPr>
          <w:rFonts w:cs="Arial"/>
        </w:rPr>
        <w:tab/>
        <w:t xml:space="preserve">Limbach-Reich, Arthur (2012). </w:t>
      </w:r>
      <w:r w:rsidRPr="00B92503">
        <w:rPr>
          <w:rFonts w:cs="Arial"/>
          <w:i/>
        </w:rPr>
        <w:t>Luxembourg Desk Report Fundamental Rights situation of persons with mental health problems and persons with intellectual disabilities</w:t>
      </w:r>
      <w:r w:rsidRPr="00B92503">
        <w:rPr>
          <w:rFonts w:cs="Arial"/>
        </w:rPr>
        <w:t xml:space="preserve">. </w:t>
      </w:r>
      <w:hyperlink r:id="rId4" w:history="1">
        <w:r w:rsidRPr="00B92503">
          <w:rPr>
            <w:rStyle w:val="Hyperlink"/>
            <w:rFonts w:cs="Arial"/>
          </w:rPr>
          <w:t>https://www.humanconsultancy.com/projects/fundamental-rights-of-persons-with-intellectual-disabilities-and-persons-with-mental-health-problems</w:t>
        </w:r>
      </w:hyperlink>
      <w:r w:rsidRPr="00B92503">
        <w:rPr>
          <w:rFonts w:cs="Arial"/>
          <w:lang w:val="en-US"/>
        </w:rPr>
        <w:t>.</w:t>
      </w:r>
      <w:r w:rsidRPr="00B92503">
        <w:rPr>
          <w:rFonts w:cs="Arial"/>
        </w:rPr>
        <w:t xml:space="preserve"> </w:t>
      </w:r>
    </w:p>
  </w:footnote>
  <w:footnote w:id="7">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lang w:val="nl-NL"/>
        </w:rPr>
        <w:t xml:space="preserve"> </w:t>
      </w:r>
      <w:r w:rsidRPr="00B92503">
        <w:rPr>
          <w:rFonts w:cs="Arial"/>
          <w:lang w:val="nl-NL"/>
        </w:rPr>
        <w:tab/>
        <w:t xml:space="preserve">Warnier, C. &amp; De Keyser, H. (2007). </w:t>
      </w:r>
      <w:r w:rsidRPr="00B92503">
        <w:rPr>
          <w:rFonts w:cs="Arial"/>
          <w:i/>
        </w:rPr>
        <w:t>Deinstitutionalisation and community living – outcomes and costs: report of a European Study Country Report Luxembourg</w:t>
      </w:r>
      <w:r w:rsidRPr="00B92503">
        <w:rPr>
          <w:rFonts w:cs="Arial"/>
        </w:rPr>
        <w:t xml:space="preserve"> </w:t>
      </w:r>
      <w:proofErr w:type="gramStart"/>
      <w:r w:rsidRPr="00B92503">
        <w:rPr>
          <w:rFonts w:cs="Arial"/>
        </w:rPr>
        <w:t>In</w:t>
      </w:r>
      <w:proofErr w:type="gramEnd"/>
      <w:r w:rsidRPr="00B92503">
        <w:rPr>
          <w:rFonts w:cs="Arial"/>
        </w:rPr>
        <w:t xml:space="preserve">: Beadle-Brown, J. &amp; </w:t>
      </w:r>
      <w:proofErr w:type="spellStart"/>
      <w:r w:rsidRPr="00B92503">
        <w:rPr>
          <w:rFonts w:cs="Arial"/>
        </w:rPr>
        <w:t>Kozma</w:t>
      </w:r>
      <w:proofErr w:type="spellEnd"/>
      <w:r w:rsidRPr="00B92503">
        <w:rPr>
          <w:rFonts w:cs="Arial"/>
        </w:rPr>
        <w:t xml:space="preserve">, A. (2007). Deinstitutionalisation and community living – outcomes and costs: report of a European Study. Volume 3: Country Reports. Canterbury: Tizard Centre, University of Kent, 360-377. </w:t>
      </w:r>
      <w:hyperlink r:id="rId5" w:history="1">
        <w:r w:rsidRPr="00B92503">
          <w:rPr>
            <w:rStyle w:val="Hyperlink"/>
            <w:rFonts w:cs="Arial"/>
          </w:rPr>
          <w:t>https://www.kent.ac.uk/tizard/research/DECL_network/documents/DECLOC_Country_Reports.pdf</w:t>
        </w:r>
      </w:hyperlink>
      <w:r w:rsidRPr="00B92503">
        <w:rPr>
          <w:rFonts w:cs="Arial"/>
          <w:lang w:val="en-US"/>
        </w:rPr>
        <w:t>.</w:t>
      </w:r>
      <w:r w:rsidRPr="00B92503">
        <w:rPr>
          <w:rFonts w:cs="Arial"/>
        </w:rPr>
        <w:t xml:space="preserve"> </w:t>
      </w:r>
    </w:p>
  </w:footnote>
  <w:footnote w:id="8">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fr-CH"/>
        </w:rPr>
        <w:t xml:space="preserve"> </w:t>
      </w:r>
      <w:r>
        <w:rPr>
          <w:rFonts w:cs="Arial"/>
          <w:lang w:val="fr-CH"/>
        </w:rPr>
        <w:tab/>
      </w:r>
      <w:r w:rsidRPr="007E08F2">
        <w:rPr>
          <w:rFonts w:cs="Arial"/>
          <w:i/>
          <w:lang w:val="fr-CH"/>
        </w:rPr>
        <w:t xml:space="preserve">Ministre aux Handicapés et aux Accidentés de la Vie (1997). Evaluation de la situation des personnes handicapées au Luxembourg. Plan d'action en faveur des personnes handicapées. </w:t>
      </w:r>
      <w:proofErr w:type="gramStart"/>
      <w:r w:rsidRPr="007E08F2">
        <w:rPr>
          <w:rFonts w:cs="Arial"/>
          <w:i/>
          <w:lang w:val="fr-CH"/>
        </w:rPr>
        <w:t>Luxembourg:</w:t>
      </w:r>
      <w:proofErr w:type="gramEnd"/>
      <w:r w:rsidRPr="007E08F2">
        <w:rPr>
          <w:rFonts w:cs="Arial"/>
          <w:i/>
          <w:lang w:val="fr-CH"/>
        </w:rPr>
        <w:t xml:space="preserve"> MHAV</w:t>
      </w:r>
      <w:r w:rsidRPr="00B92503">
        <w:rPr>
          <w:rFonts w:cs="Arial"/>
          <w:lang w:val="fr-CH"/>
        </w:rPr>
        <w:t>.</w:t>
      </w:r>
    </w:p>
  </w:footnote>
  <w:footnote w:id="9">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lang w:val="fr-CH"/>
        </w:rPr>
        <w:t xml:space="preserve"> </w:t>
      </w:r>
      <w:r>
        <w:rPr>
          <w:rFonts w:cs="Arial"/>
          <w:lang w:val="fr-CH"/>
        </w:rPr>
        <w:tab/>
      </w:r>
      <w:proofErr w:type="spellStart"/>
      <w:r w:rsidRPr="00B92503">
        <w:rPr>
          <w:rFonts w:cs="Arial"/>
          <w:lang w:val="fr-CH"/>
        </w:rPr>
        <w:t>Warnier</w:t>
      </w:r>
      <w:proofErr w:type="spellEnd"/>
      <w:r w:rsidRPr="00B92503">
        <w:rPr>
          <w:rFonts w:cs="Arial"/>
          <w:lang w:val="fr-CH"/>
        </w:rPr>
        <w:t xml:space="preserve">, C. &amp; De Keyser, H. (2007). </w:t>
      </w:r>
      <w:r w:rsidRPr="00B92503">
        <w:rPr>
          <w:rFonts w:cs="Arial"/>
          <w:i/>
        </w:rPr>
        <w:t>Deinstitutionalisation and community living – outcomes and costs: report of a European Study Country Report Luxembourg</w:t>
      </w:r>
      <w:r w:rsidRPr="00B92503">
        <w:rPr>
          <w:rFonts w:cs="Arial"/>
        </w:rPr>
        <w:t xml:space="preserve"> </w:t>
      </w:r>
      <w:proofErr w:type="gramStart"/>
      <w:r w:rsidRPr="00B92503">
        <w:rPr>
          <w:rFonts w:cs="Arial"/>
        </w:rPr>
        <w:t>In</w:t>
      </w:r>
      <w:proofErr w:type="gramEnd"/>
      <w:r w:rsidRPr="00B92503">
        <w:rPr>
          <w:rFonts w:cs="Arial"/>
        </w:rPr>
        <w:t xml:space="preserve">: Beadle-Brown, J. &amp; </w:t>
      </w:r>
      <w:proofErr w:type="spellStart"/>
      <w:r w:rsidRPr="00B92503">
        <w:rPr>
          <w:rFonts w:cs="Arial"/>
        </w:rPr>
        <w:t>Kozma</w:t>
      </w:r>
      <w:proofErr w:type="spellEnd"/>
      <w:r w:rsidRPr="00B92503">
        <w:rPr>
          <w:rFonts w:cs="Arial"/>
        </w:rPr>
        <w:t xml:space="preserve">, A. (2007). Deinstitutionalisation and community living – outcomes and costs: report of a European Study. Volume 3: Country Reports. Canterbury: Tizard Centre, University of Kent, 360-377. </w:t>
      </w:r>
      <w:hyperlink r:id="rId6" w:history="1">
        <w:r w:rsidRPr="00B92503">
          <w:rPr>
            <w:rStyle w:val="Hyperlink"/>
            <w:rFonts w:cs="Arial"/>
          </w:rPr>
          <w:t>https://www.kent.ac.uk/tizard/research/DECL_network/documents/DECLOC_Country_Reports.pdf</w:t>
        </w:r>
      </w:hyperlink>
      <w:r w:rsidRPr="00B92503">
        <w:rPr>
          <w:rFonts w:cs="Arial"/>
          <w:lang w:val="en-US"/>
        </w:rPr>
        <w:t>.</w:t>
      </w:r>
    </w:p>
  </w:footnote>
  <w:footnote w:id="10">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rPr>
        <w:t xml:space="preserve"> </w:t>
      </w:r>
      <w:r>
        <w:rPr>
          <w:rFonts w:cs="Arial"/>
        </w:rPr>
        <w:tab/>
      </w:r>
      <w:r w:rsidRPr="00B92503">
        <w:rPr>
          <w:rFonts w:cs="Arial"/>
        </w:rPr>
        <w:t xml:space="preserve">European Union Agency for Fundamental Rights. (2017) From institutions to community living - Part III: outcomes for persons with disabilities. </w:t>
      </w:r>
      <w:hyperlink r:id="rId7" w:history="1">
        <w:r w:rsidRPr="00B92503">
          <w:rPr>
            <w:rStyle w:val="Hyperlink"/>
            <w:rFonts w:cs="Arial"/>
          </w:rPr>
          <w:t>https://fra.europa.eu/en/publication/2017/independent-living-outcomes</w:t>
        </w:r>
      </w:hyperlink>
      <w:r w:rsidRPr="00B92503">
        <w:rPr>
          <w:rFonts w:cs="Arial"/>
        </w:rPr>
        <w:t xml:space="preserve"> based on data compiled by the Ministry of Family and the Integration, Annual </w:t>
      </w:r>
      <w:r w:rsidRPr="00B92503">
        <w:rPr>
          <w:rFonts w:cs="Arial"/>
          <w:lang w:val="en-US"/>
        </w:rPr>
        <w:t>report 2016 (</w:t>
      </w:r>
      <w:r w:rsidRPr="007E08F2">
        <w:rPr>
          <w:rFonts w:cs="Arial"/>
          <w:i/>
          <w:lang w:val="en-US"/>
        </w:rPr>
        <w:t xml:space="preserve">Rapport </w:t>
      </w:r>
      <w:proofErr w:type="spellStart"/>
      <w:r w:rsidRPr="007E08F2">
        <w:rPr>
          <w:rFonts w:cs="Arial"/>
          <w:i/>
          <w:lang w:val="en-US"/>
        </w:rPr>
        <w:t>d’activité</w:t>
      </w:r>
      <w:proofErr w:type="spellEnd"/>
      <w:r w:rsidRPr="007E08F2">
        <w:rPr>
          <w:rFonts w:cs="Arial"/>
          <w:i/>
          <w:lang w:val="en-US"/>
        </w:rPr>
        <w:t xml:space="preserve"> 2016</w:t>
      </w:r>
      <w:r w:rsidRPr="00B92503">
        <w:rPr>
          <w:rFonts w:cs="Arial"/>
          <w:lang w:val="en-US"/>
        </w:rPr>
        <w:t>); and Annual report 2010</w:t>
      </w:r>
      <w:r w:rsidRPr="00B92503">
        <w:rPr>
          <w:rFonts w:cs="Arial"/>
        </w:rPr>
        <w:t xml:space="preserve"> </w:t>
      </w:r>
      <w:r w:rsidRPr="00B92503">
        <w:rPr>
          <w:rFonts w:cs="Arial"/>
          <w:lang w:val="en-US"/>
        </w:rPr>
        <w:t>(</w:t>
      </w:r>
      <w:r w:rsidRPr="007E08F2">
        <w:rPr>
          <w:rFonts w:cs="Arial"/>
          <w:i/>
          <w:lang w:val="en-US"/>
        </w:rPr>
        <w:t xml:space="preserve">Rapport </w:t>
      </w:r>
      <w:proofErr w:type="spellStart"/>
      <w:r w:rsidRPr="007E08F2">
        <w:rPr>
          <w:rFonts w:cs="Arial"/>
          <w:i/>
          <w:lang w:val="en-US"/>
        </w:rPr>
        <w:t>d’activité</w:t>
      </w:r>
      <w:proofErr w:type="spellEnd"/>
      <w:r w:rsidRPr="007E08F2">
        <w:rPr>
          <w:rFonts w:cs="Arial"/>
          <w:i/>
          <w:lang w:val="en-US"/>
        </w:rPr>
        <w:t xml:space="preserve"> 2010</w:t>
      </w:r>
      <w:r w:rsidRPr="00B92503">
        <w:rPr>
          <w:rFonts w:cs="Arial"/>
          <w:lang w:val="en-US"/>
        </w:rPr>
        <w:t xml:space="preserve">), p. 76. </w:t>
      </w:r>
      <w:hyperlink r:id="rId8" w:history="1">
        <w:r w:rsidRPr="00B92503">
          <w:rPr>
            <w:rStyle w:val="Hyperlink"/>
            <w:rFonts w:cs="Arial"/>
            <w:lang w:val="en-US"/>
          </w:rPr>
          <w:t>https://mfamigr.gouvernement.lu/fr/publications.html</w:t>
        </w:r>
      </w:hyperlink>
      <w:r w:rsidRPr="00B92503">
        <w:rPr>
          <w:rFonts w:cs="Arial"/>
          <w:lang w:val="en-US"/>
        </w:rPr>
        <w:t xml:space="preserve">. </w:t>
      </w:r>
    </w:p>
  </w:footnote>
  <w:footnote w:id="11">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rPr>
        <w:t xml:space="preserve"> </w:t>
      </w:r>
      <w:r>
        <w:rPr>
          <w:rFonts w:cs="Arial"/>
        </w:rPr>
        <w:tab/>
      </w:r>
      <w:r w:rsidRPr="00B92503">
        <w:rPr>
          <w:rFonts w:cs="Arial"/>
        </w:rPr>
        <w:t xml:space="preserve">EQLS 2012 Methodology </w:t>
      </w:r>
      <w:hyperlink r:id="rId9" w:history="1">
        <w:r w:rsidRPr="00B92503">
          <w:rPr>
            <w:rStyle w:val="Hyperlink"/>
            <w:rFonts w:cs="Arial"/>
          </w:rPr>
          <w:t>https://www.eurofound.europa.eu/de/surveys/european-quality-of-life-surveys/european-quality-of-life-survey-2012/eqls-2012-methodology</w:t>
        </w:r>
      </w:hyperlink>
      <w:r w:rsidRPr="00B92503">
        <w:rPr>
          <w:rFonts w:cs="Arial"/>
          <w:lang w:val="en-US"/>
        </w:rPr>
        <w:t>.</w:t>
      </w:r>
      <w:r w:rsidRPr="00B92503">
        <w:rPr>
          <w:rFonts w:cs="Arial"/>
        </w:rPr>
        <w:t xml:space="preserve"> </w:t>
      </w:r>
    </w:p>
  </w:footnote>
  <w:footnote w:id="12">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rPr>
        <w:t xml:space="preserve"> </w:t>
      </w:r>
      <w:r>
        <w:rPr>
          <w:rFonts w:cs="Arial"/>
        </w:rPr>
        <w:tab/>
      </w:r>
      <w:r w:rsidRPr="00B92503">
        <w:rPr>
          <w:rFonts w:cs="Arial"/>
        </w:rPr>
        <w:t xml:space="preserve">ANED country report on the implementation of policies supporting independent living for disabled people. 2009 </w:t>
      </w:r>
      <w:hyperlink r:id="rId10" w:history="1">
        <w:r w:rsidRPr="00B92503">
          <w:rPr>
            <w:rStyle w:val="Hyperlink"/>
            <w:rFonts w:cs="Arial"/>
          </w:rPr>
          <w:t>https://www.disability-europe.net/downloads/460-lu-7-aned-2009-request-07-task-5-report-on-independent-living-approved-final-in-layout-to-ec</w:t>
        </w:r>
      </w:hyperlink>
      <w:r w:rsidRPr="00B92503">
        <w:rPr>
          <w:rFonts w:cs="Arial"/>
          <w:lang w:val="en-US"/>
        </w:rPr>
        <w:t>.</w:t>
      </w:r>
    </w:p>
  </w:footnote>
  <w:footnote w:id="13">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en-US"/>
        </w:rPr>
        <w:t xml:space="preserve"> </w:t>
      </w:r>
      <w:r>
        <w:rPr>
          <w:rFonts w:cs="Arial"/>
          <w:lang w:val="en-US"/>
        </w:rPr>
        <w:tab/>
      </w:r>
      <w:r w:rsidRPr="00B92503">
        <w:rPr>
          <w:rFonts w:cs="Arial"/>
          <w:lang w:val="en-US"/>
        </w:rPr>
        <w:t>Regulation of the long-time care assurance (</w:t>
      </w:r>
      <w:r w:rsidRPr="007E08F2">
        <w:rPr>
          <w:rFonts w:cs="Arial"/>
          <w:i/>
          <w:lang w:val="en-US"/>
        </w:rPr>
        <w:t xml:space="preserve">Assurance </w:t>
      </w:r>
      <w:proofErr w:type="spellStart"/>
      <w:r w:rsidRPr="007E08F2">
        <w:rPr>
          <w:rFonts w:cs="Arial"/>
          <w:i/>
          <w:lang w:val="en-US"/>
        </w:rPr>
        <w:t>dépendance</w:t>
      </w:r>
      <w:proofErr w:type="spellEnd"/>
      <w:r w:rsidRPr="00B92503">
        <w:rPr>
          <w:rFonts w:cs="Arial"/>
          <w:lang w:val="en-US"/>
        </w:rPr>
        <w:t xml:space="preserve">) 1998. </w:t>
      </w:r>
      <w:hyperlink r:id="rId11" w:history="1">
        <w:r w:rsidRPr="00B92503">
          <w:rPr>
            <w:rStyle w:val="Hyperlink"/>
            <w:rFonts w:cs="Arial"/>
            <w:lang w:val="fr-CH"/>
          </w:rPr>
          <w:t>https://www.secu.lu/assurance-dependance/</w:t>
        </w:r>
      </w:hyperlink>
      <w:r w:rsidRPr="00B92503">
        <w:rPr>
          <w:rFonts w:cs="Arial"/>
          <w:lang w:val="fr-FR"/>
        </w:rPr>
        <w:t>.</w:t>
      </w:r>
      <w:r w:rsidRPr="00B92503">
        <w:rPr>
          <w:rFonts w:cs="Arial"/>
          <w:lang w:val="fr-CH"/>
        </w:rPr>
        <w:t xml:space="preserve"> </w:t>
      </w:r>
    </w:p>
  </w:footnote>
  <w:footnote w:id="14">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fr-CH"/>
        </w:rPr>
        <w:t xml:space="preserve"> </w:t>
      </w:r>
      <w:r>
        <w:rPr>
          <w:rFonts w:cs="Arial"/>
          <w:lang w:val="fr-CH"/>
        </w:rPr>
        <w:tab/>
      </w:r>
      <w:r w:rsidRPr="007E08F2">
        <w:rPr>
          <w:rFonts w:cs="Arial"/>
          <w:i/>
          <w:lang w:val="fr-CH"/>
        </w:rPr>
        <w:t>Loi relative aux personnes handicapées - service de travailleur handicapé/ salarié handicapé</w:t>
      </w:r>
      <w:r w:rsidRPr="00B92503">
        <w:rPr>
          <w:rFonts w:cs="Arial"/>
          <w:lang w:val="fr-CH"/>
        </w:rPr>
        <w:t xml:space="preserve"> </w:t>
      </w:r>
      <w:hyperlink r:id="rId12" w:history="1">
        <w:r w:rsidRPr="00B92503">
          <w:rPr>
            <w:rStyle w:val="Hyperlink"/>
            <w:rFonts w:cs="Arial"/>
            <w:lang w:val="fr-CH"/>
          </w:rPr>
          <w:t>http://legilux.public.lu/eli/etat/leg/loi/2003/09/12/n1/jo</w:t>
        </w:r>
      </w:hyperlink>
      <w:r w:rsidRPr="00B92503">
        <w:rPr>
          <w:rFonts w:cs="Arial"/>
          <w:lang w:val="fr-FR"/>
        </w:rPr>
        <w:t>.</w:t>
      </w:r>
      <w:r w:rsidRPr="00B92503">
        <w:rPr>
          <w:rFonts w:cs="Arial"/>
          <w:lang w:val="fr-CH"/>
        </w:rPr>
        <w:t xml:space="preserve"> </w:t>
      </w:r>
    </w:p>
  </w:footnote>
  <w:footnote w:id="15">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lang w:val="en-US"/>
        </w:rPr>
        <w:t xml:space="preserve"> </w:t>
      </w:r>
      <w:r>
        <w:rPr>
          <w:rFonts w:cs="Arial"/>
          <w:lang w:val="en-US"/>
        </w:rPr>
        <w:tab/>
      </w:r>
      <w:proofErr w:type="spellStart"/>
      <w:r w:rsidRPr="00B92503">
        <w:rPr>
          <w:rFonts w:cs="Arial"/>
          <w:lang w:val="en-US"/>
        </w:rPr>
        <w:t>Townsley</w:t>
      </w:r>
      <w:proofErr w:type="spellEnd"/>
      <w:r w:rsidRPr="00B92503">
        <w:rPr>
          <w:rFonts w:cs="Arial"/>
          <w:lang w:val="en-US"/>
        </w:rPr>
        <w:t xml:space="preserve">, Ruth, Ward, Linda, Abbott, David and Williams, Val (2009). </w:t>
      </w:r>
      <w:r w:rsidRPr="00B92503">
        <w:rPr>
          <w:rFonts w:cs="Arial"/>
          <w:i/>
          <w:lang w:val="en-US"/>
        </w:rPr>
        <w:t>The Implementation of Policies Supporting Independent Living for Disabled People in Europe</w:t>
      </w:r>
      <w:r w:rsidRPr="00B92503">
        <w:rPr>
          <w:rFonts w:cs="Arial"/>
          <w:lang w:val="en-US"/>
        </w:rPr>
        <w:t>: Synthesis Report of the Norah Fry Research Centre University of Bristol. (</w:t>
      </w:r>
      <w:proofErr w:type="gramStart"/>
      <w:r w:rsidRPr="00B92503">
        <w:rPr>
          <w:rFonts w:cs="Arial"/>
          <w:lang w:val="en-US"/>
        </w:rPr>
        <w:t>November 2009,</w:t>
      </w:r>
      <w:proofErr w:type="gramEnd"/>
      <w:r w:rsidRPr="00B92503">
        <w:rPr>
          <w:rFonts w:cs="Arial"/>
          <w:lang w:val="en-US"/>
        </w:rPr>
        <w:t xml:space="preserve"> amended January 2010). </w:t>
      </w:r>
      <w:hyperlink r:id="rId13" w:history="1">
        <w:r w:rsidRPr="00B92503">
          <w:rPr>
            <w:rStyle w:val="Hyperlink"/>
            <w:rFonts w:cs="Arial"/>
            <w:lang w:val="en-US"/>
          </w:rPr>
          <w:t>https://www.disability-europe.net/downloads/284-aned-task-5-independent-living-synthesis-report-14-01-10</w:t>
        </w:r>
      </w:hyperlink>
      <w:r w:rsidRPr="00B92503">
        <w:rPr>
          <w:rFonts w:cs="Arial"/>
          <w:lang w:val="en-US"/>
        </w:rPr>
        <w:t xml:space="preserve">. </w:t>
      </w:r>
    </w:p>
  </w:footnote>
  <w:footnote w:id="16">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rPr>
        <w:t xml:space="preserve"> </w:t>
      </w:r>
      <w:r>
        <w:rPr>
          <w:rFonts w:cs="Arial"/>
        </w:rPr>
        <w:tab/>
      </w:r>
      <w:r w:rsidRPr="00B92503">
        <w:rPr>
          <w:rFonts w:cs="Arial"/>
        </w:rPr>
        <w:t xml:space="preserve">Ministry of Family Affairs Integration and the </w:t>
      </w:r>
      <w:proofErr w:type="spellStart"/>
      <w:r w:rsidRPr="00B92503">
        <w:rPr>
          <w:rFonts w:cs="Arial"/>
        </w:rPr>
        <w:t>Greater.Region</w:t>
      </w:r>
      <w:proofErr w:type="spellEnd"/>
      <w:r w:rsidRPr="00B92503">
        <w:rPr>
          <w:rFonts w:cs="Arial"/>
        </w:rPr>
        <w:t xml:space="preserve"> (2012) First action plan to implement the CRPD in Luxembourg (</w:t>
      </w:r>
      <w:proofErr w:type="spellStart"/>
      <w:r w:rsidRPr="00B92503">
        <w:rPr>
          <w:rFonts w:cs="Arial"/>
          <w:i/>
        </w:rPr>
        <w:t>Aktionsplan</w:t>
      </w:r>
      <w:proofErr w:type="spellEnd"/>
      <w:r w:rsidRPr="00B92503">
        <w:rPr>
          <w:rFonts w:cs="Arial"/>
          <w:i/>
        </w:rPr>
        <w:t xml:space="preserve"> der </w:t>
      </w:r>
      <w:proofErr w:type="spellStart"/>
      <w:r w:rsidRPr="00B92503">
        <w:rPr>
          <w:rFonts w:cs="Arial"/>
          <w:i/>
        </w:rPr>
        <w:t>Luxemburger</w:t>
      </w:r>
      <w:proofErr w:type="spellEnd"/>
      <w:r w:rsidRPr="00B92503">
        <w:rPr>
          <w:rFonts w:cs="Arial"/>
          <w:i/>
        </w:rPr>
        <w:t xml:space="preserve"> </w:t>
      </w:r>
      <w:proofErr w:type="spellStart"/>
      <w:r w:rsidRPr="00B92503">
        <w:rPr>
          <w:rFonts w:cs="Arial"/>
          <w:i/>
        </w:rPr>
        <w:t>Regierung</w:t>
      </w:r>
      <w:proofErr w:type="spellEnd"/>
      <w:r w:rsidRPr="00B92503">
        <w:rPr>
          <w:rFonts w:cs="Arial"/>
          <w:i/>
        </w:rPr>
        <w:t xml:space="preserve"> </w:t>
      </w:r>
      <w:proofErr w:type="spellStart"/>
      <w:r w:rsidRPr="00B92503">
        <w:rPr>
          <w:rFonts w:cs="Arial"/>
          <w:i/>
        </w:rPr>
        <w:t>zur</w:t>
      </w:r>
      <w:proofErr w:type="spellEnd"/>
      <w:r w:rsidRPr="00B92503">
        <w:rPr>
          <w:rFonts w:cs="Arial"/>
          <w:i/>
        </w:rPr>
        <w:t xml:space="preserve"> </w:t>
      </w:r>
      <w:proofErr w:type="spellStart"/>
      <w:r w:rsidRPr="00B92503">
        <w:rPr>
          <w:rFonts w:cs="Arial"/>
          <w:i/>
        </w:rPr>
        <w:t>Umsetzung</w:t>
      </w:r>
      <w:proofErr w:type="spellEnd"/>
      <w:r w:rsidRPr="00B92503">
        <w:rPr>
          <w:rFonts w:cs="Arial"/>
          <w:i/>
        </w:rPr>
        <w:t xml:space="preserve"> der UNO-</w:t>
      </w:r>
      <w:proofErr w:type="spellStart"/>
      <w:r w:rsidRPr="00B92503">
        <w:rPr>
          <w:rFonts w:cs="Arial"/>
          <w:i/>
        </w:rPr>
        <w:t>Behindertenrechtskonvention</w:t>
      </w:r>
      <w:proofErr w:type="spellEnd"/>
      <w:r w:rsidRPr="00B92503">
        <w:rPr>
          <w:rFonts w:cs="Arial"/>
        </w:rPr>
        <w:t xml:space="preserve">) </w:t>
      </w:r>
      <w:hyperlink r:id="rId14" w:history="1">
        <w:r w:rsidRPr="00B92503">
          <w:rPr>
            <w:rStyle w:val="Hyperlink"/>
            <w:rFonts w:cs="Arial"/>
          </w:rPr>
          <w:t>https://mfamigr.gouvernement.lu/dam-assets/le-ministère/attributions/personnes-handicapées/plan-d-action-du-gouvernement-luxembourgeois-en-faveur-des-personnes-handicapees.pdf</w:t>
        </w:r>
      </w:hyperlink>
      <w:r w:rsidRPr="00B92503">
        <w:rPr>
          <w:rFonts w:cs="Arial"/>
          <w:lang w:val="en-US"/>
        </w:rPr>
        <w:t>.</w:t>
      </w:r>
      <w:r w:rsidRPr="00B92503">
        <w:rPr>
          <w:rFonts w:cs="Arial"/>
        </w:rPr>
        <w:t xml:space="preserve"> </w:t>
      </w:r>
    </w:p>
  </w:footnote>
  <w:footnote w:id="17">
    <w:p w:rsidR="009E55DC" w:rsidRPr="00B92503" w:rsidRDefault="009E55DC" w:rsidP="00B92503">
      <w:pPr>
        <w:ind w:left="284" w:hanging="284"/>
        <w:jc w:val="left"/>
        <w:rPr>
          <w:rFonts w:cs="Arial"/>
          <w:sz w:val="20"/>
          <w:lang w:val="en-US"/>
        </w:rPr>
      </w:pPr>
      <w:r w:rsidRPr="00B92503">
        <w:rPr>
          <w:rStyle w:val="FootnoteReference"/>
          <w:rFonts w:cs="Arial"/>
        </w:rPr>
        <w:footnoteRef/>
      </w:r>
      <w:r w:rsidRPr="00B92503">
        <w:rPr>
          <w:rFonts w:cs="Arial"/>
          <w:sz w:val="20"/>
          <w:lang w:val="en-US"/>
        </w:rPr>
        <w:t xml:space="preserve"> </w:t>
      </w:r>
      <w:r>
        <w:rPr>
          <w:rFonts w:cs="Arial"/>
          <w:sz w:val="20"/>
          <w:lang w:val="en-US"/>
        </w:rPr>
        <w:tab/>
      </w:r>
      <w:r w:rsidRPr="00B92503">
        <w:rPr>
          <w:rFonts w:cs="Arial"/>
          <w:sz w:val="20"/>
          <w:lang w:val="en-US"/>
        </w:rPr>
        <w:t xml:space="preserve">Luxembourg Desk Report Fundamental Rights situation of persons with mental health problems and persons with intellectual disabilities 2012 </w:t>
      </w:r>
      <w:hyperlink r:id="rId15" w:history="1">
        <w:r w:rsidRPr="006C2378">
          <w:rPr>
            <w:rStyle w:val="Hyperlink"/>
            <w:rFonts w:cs="Arial"/>
            <w:sz w:val="20"/>
          </w:rPr>
          <w:t>https://www.humanconsultancy.com/downloads/342-luxembourg-desk-report-fundamental-rights-situation-of-persons-with-mental-health-problems-and-persons-with-intellectual-disabilities</w:t>
        </w:r>
      </w:hyperlink>
      <w:r w:rsidRPr="00B92503">
        <w:rPr>
          <w:rFonts w:cs="Arial"/>
          <w:sz w:val="20"/>
          <w:lang w:val="en-US"/>
        </w:rPr>
        <w:t>.</w:t>
      </w:r>
      <w:r>
        <w:rPr>
          <w:rFonts w:cs="Arial"/>
          <w:sz w:val="20"/>
          <w:lang w:val="en-US"/>
        </w:rPr>
        <w:t xml:space="preserve"> </w:t>
      </w:r>
    </w:p>
  </w:footnote>
  <w:footnote w:id="18">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en-US"/>
        </w:rPr>
        <w:t xml:space="preserve"> </w:t>
      </w:r>
      <w:r>
        <w:rPr>
          <w:rFonts w:cs="Arial"/>
          <w:lang w:val="en-US"/>
        </w:rPr>
        <w:tab/>
      </w:r>
      <w:r w:rsidRPr="00B92503">
        <w:rPr>
          <w:rFonts w:cs="Arial"/>
          <w:lang w:val="en-US"/>
        </w:rPr>
        <w:t xml:space="preserve">There is a lumpsum system for some impairments, e.g. blindness. </w:t>
      </w:r>
      <w:r w:rsidRPr="007E08F2">
        <w:rPr>
          <w:rFonts w:cs="Arial"/>
          <w:i/>
          <w:lang w:val="fr-CH"/>
        </w:rPr>
        <w:t>Loi du 1er avril 1971 portant création d'une allocation spéciale pour aveugles.</w:t>
      </w:r>
      <w:r w:rsidRPr="00B92503">
        <w:rPr>
          <w:rFonts w:cs="Arial"/>
          <w:lang w:val="fr-CH"/>
        </w:rPr>
        <w:t xml:space="preserve"> </w:t>
      </w:r>
      <w:hyperlink r:id="rId16" w:history="1">
        <w:r w:rsidRPr="00B92503">
          <w:rPr>
            <w:rStyle w:val="Hyperlink"/>
            <w:rFonts w:cs="Arial"/>
            <w:lang w:val="fr-CH"/>
          </w:rPr>
          <w:t>http://legilux.public.lu/eli/etat/leg/loi/1971/04/01/n1/jo</w:t>
        </w:r>
      </w:hyperlink>
      <w:r w:rsidRPr="00B92503">
        <w:rPr>
          <w:rFonts w:cs="Arial"/>
          <w:lang w:val="fr-CH"/>
        </w:rPr>
        <w:t xml:space="preserve">. </w:t>
      </w:r>
    </w:p>
  </w:footnote>
  <w:footnote w:id="19">
    <w:p w:rsidR="009E55DC" w:rsidRPr="00155052"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fr-CH"/>
        </w:rPr>
        <w:t xml:space="preserve"> </w:t>
      </w:r>
      <w:r>
        <w:rPr>
          <w:rFonts w:cs="Arial"/>
          <w:lang w:val="fr-CH"/>
        </w:rPr>
        <w:tab/>
      </w:r>
      <w:r w:rsidRPr="00B92503">
        <w:rPr>
          <w:rFonts w:cs="Arial"/>
          <w:lang w:val="fr-CH"/>
        </w:rPr>
        <w:t xml:space="preserve">Initial country report on </w:t>
      </w:r>
      <w:proofErr w:type="spellStart"/>
      <w:r w:rsidRPr="00B92503">
        <w:rPr>
          <w:rFonts w:cs="Arial"/>
          <w:lang w:val="fr-CH"/>
        </w:rPr>
        <w:t>implementing</w:t>
      </w:r>
      <w:proofErr w:type="spellEnd"/>
      <w:r w:rsidRPr="00B92503">
        <w:rPr>
          <w:rFonts w:cs="Arial"/>
          <w:lang w:val="fr-CH"/>
        </w:rPr>
        <w:t xml:space="preserve"> the CRPD (</w:t>
      </w:r>
      <w:r w:rsidRPr="00B92503">
        <w:rPr>
          <w:rFonts w:cs="Arial"/>
          <w:i/>
          <w:lang w:val="fr-CH"/>
        </w:rPr>
        <w:t xml:space="preserve">Mise en œuvre de la Convention des Nations Unies relative aux droits des personnes </w:t>
      </w:r>
      <w:proofErr w:type="spellStart"/>
      <w:r w:rsidRPr="00B92503">
        <w:rPr>
          <w:rFonts w:cs="Arial"/>
          <w:i/>
          <w:lang w:val="fr-CH"/>
        </w:rPr>
        <w:t>handicapées</w:t>
      </w:r>
      <w:proofErr w:type="spellEnd"/>
      <w:r w:rsidRPr="00B92503">
        <w:rPr>
          <w:rFonts w:cs="Arial"/>
          <w:i/>
          <w:lang w:val="fr-CH"/>
        </w:rPr>
        <w:t xml:space="preserve"> - Premier rapport </w:t>
      </w:r>
      <w:proofErr w:type="spellStart"/>
      <w:r w:rsidRPr="00B92503">
        <w:rPr>
          <w:rFonts w:cs="Arial"/>
          <w:i/>
          <w:lang w:val="fr-CH"/>
        </w:rPr>
        <w:t>périodique</w:t>
      </w:r>
      <w:proofErr w:type="spellEnd"/>
      <w:r w:rsidRPr="00B92503">
        <w:rPr>
          <w:rFonts w:cs="Arial"/>
          <w:i/>
          <w:lang w:val="fr-CH"/>
        </w:rPr>
        <w:t xml:space="preserve"> du </w:t>
      </w:r>
      <w:proofErr w:type="spellStart"/>
      <w:r w:rsidRPr="00B92503">
        <w:rPr>
          <w:rFonts w:cs="Arial"/>
          <w:i/>
          <w:lang w:val="fr-CH"/>
        </w:rPr>
        <w:t>Grand-Duche</w:t>
      </w:r>
      <w:proofErr w:type="spellEnd"/>
      <w:r w:rsidRPr="00B92503">
        <w:rPr>
          <w:rFonts w:cs="Arial"/>
          <w:i/>
          <w:lang w:val="fr-CH"/>
        </w:rPr>
        <w:t>́ de Luxembourg</w:t>
      </w:r>
      <w:r w:rsidRPr="00B92503">
        <w:rPr>
          <w:rFonts w:cs="Arial"/>
          <w:lang w:val="fr-CH"/>
        </w:rPr>
        <w:t xml:space="preserve"> (2014). </w:t>
      </w:r>
      <w:hyperlink r:id="rId17" w:history="1">
        <w:r w:rsidRPr="00B92503">
          <w:rPr>
            <w:rStyle w:val="Hyperlink"/>
            <w:rFonts w:cs="Arial"/>
            <w:lang w:val="fr-CH"/>
          </w:rPr>
          <w:t>https://mfamigr.gouvernement.lu/content/dam/gouv_mfamigr/le-ministère/attributions/personnes-handicapées/premier-rapport-periodique-de-mise-en-œuvre-de-la-convention-onu.pdf</w:t>
        </w:r>
      </w:hyperlink>
      <w:r w:rsidRPr="00155052">
        <w:rPr>
          <w:rFonts w:cs="Arial"/>
          <w:lang w:val="fr-CH"/>
        </w:rPr>
        <w:t>.</w:t>
      </w:r>
    </w:p>
    <w:p w:rsidR="009E55DC" w:rsidRPr="00B92503" w:rsidRDefault="009E55DC" w:rsidP="00155052">
      <w:pPr>
        <w:pStyle w:val="FootnoteText"/>
        <w:ind w:left="284"/>
        <w:jc w:val="left"/>
        <w:rPr>
          <w:rFonts w:cs="Arial"/>
        </w:rPr>
      </w:pPr>
      <w:r w:rsidRPr="00B92503">
        <w:rPr>
          <w:rFonts w:cs="Arial"/>
          <w:lang w:val="en-US"/>
        </w:rPr>
        <w:t xml:space="preserve">UN-CRPD concluding observations on the initial report of Luxembourg (CRPD/C/LUX/1) </w:t>
      </w:r>
      <w:hyperlink r:id="rId18" w:history="1">
        <w:r w:rsidRPr="00B92503">
          <w:rPr>
            <w:rStyle w:val="Hyperlink"/>
            <w:rFonts w:cs="Arial"/>
          </w:rPr>
          <w:t>https://webcache.googleusercontent.com/search?q=cache:Hnp_yXmX-0IJ:https://tbinternet.ohchr.org/Treaties/CRPD/Shared%2520Documents/LUX/CRPD_C_LUX_CO_1_28811_E.docx+&amp;cd=1&amp;hl=de&amp;ct=clnk&amp;gl=de&amp;client=safari</w:t>
        </w:r>
      </w:hyperlink>
      <w:r w:rsidRPr="00B92503">
        <w:rPr>
          <w:rFonts w:cs="Arial"/>
        </w:rPr>
        <w:t xml:space="preserve">. </w:t>
      </w:r>
    </w:p>
  </w:footnote>
  <w:footnote w:id="20">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rPr>
        <w:t xml:space="preserve"> </w:t>
      </w:r>
      <w:r w:rsidRPr="00B92503">
        <w:rPr>
          <w:rFonts w:cs="Arial"/>
        </w:rPr>
        <w:tab/>
        <w:t>Alternative Report on Implementation of the United Nations Convention on the Rights of Persons with Disabilities Luxembourg 2016. a</w:t>
      </w:r>
      <w:hyperlink r:id="rId19" w:history="1">
        <w:r w:rsidRPr="00B92503">
          <w:rPr>
            <w:rStyle w:val="Hyperlink"/>
            <w:rFonts w:cs="Arial"/>
          </w:rPr>
          <w:t>https://tbinternet.ohchr.org/_layouts/treatybodyexternal/Download.aspx?symbolno=INT%2fCRPD%2fCSS%2fLUX%2f26160&amp;Lang=en</w:t>
        </w:r>
      </w:hyperlink>
      <w:r w:rsidRPr="00B92503">
        <w:rPr>
          <w:rFonts w:cs="Arial"/>
        </w:rPr>
        <w:t xml:space="preserve">. </w:t>
      </w:r>
    </w:p>
  </w:footnote>
  <w:footnote w:id="21">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rPr>
        <w:t xml:space="preserve"> </w:t>
      </w:r>
      <w:r>
        <w:rPr>
          <w:rFonts w:cs="Arial"/>
        </w:rPr>
        <w:tab/>
      </w:r>
      <w:r w:rsidRPr="00B92503">
        <w:rPr>
          <w:rFonts w:cs="Arial"/>
        </w:rPr>
        <w:t xml:space="preserve">UN-CRPD Committee on the Rights of Persons with Disabilities (2017). Concluding observations on the initial report of Luxembourg (CRPD/C/LUX/1) </w:t>
      </w:r>
      <w:hyperlink r:id="rId20" w:history="1">
        <w:r w:rsidRPr="00B07447">
          <w:rPr>
            <w:rStyle w:val="Hyperlink"/>
            <w:rFonts w:cs="Arial"/>
          </w:rPr>
          <w:t>https://webcache.googleusercontent.com/search?q=cache:Hnp_yXmX</w:t>
        </w:r>
        <w:r w:rsidRPr="00B07447">
          <w:rPr>
            <w:rStyle w:val="Hyperlink"/>
            <w:rFonts w:cs="Arial"/>
          </w:rPr>
          <w:noBreakHyphen/>
          <w:t>0IJ:https://tbinternet.ohchr.org/Treaties/CRPD/Shared%2520Documents/LUX/CRPD_C_LUX_CO_1_28811_E.docx+&amp;cd=1&amp;hl=de&amp;ct=clnk&amp;gl=de&amp;client=safari</w:t>
        </w:r>
      </w:hyperlink>
      <w:r w:rsidRPr="00B92503">
        <w:rPr>
          <w:rFonts w:cs="Arial"/>
        </w:rPr>
        <w:t>.</w:t>
      </w:r>
    </w:p>
  </w:footnote>
  <w:footnote w:id="22">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en-US"/>
        </w:rPr>
        <w:t xml:space="preserve"> </w:t>
      </w:r>
      <w:r>
        <w:rPr>
          <w:rFonts w:cs="Arial"/>
          <w:lang w:val="en-US"/>
        </w:rPr>
        <w:tab/>
      </w:r>
      <w:r w:rsidRPr="00B92503">
        <w:rPr>
          <w:rFonts w:cs="Arial"/>
          <w:lang w:val="en-US"/>
        </w:rPr>
        <w:t xml:space="preserve">Ministry of Family, Integration and the Grand Region 2018 Working group on the development of the new National Action Plan for the implementation of the UN Convention on the Rights of Persons with Disabilities. </w:t>
      </w:r>
      <w:r w:rsidRPr="00B92503">
        <w:rPr>
          <w:rFonts w:cs="Arial"/>
          <w:lang w:val="fr-CH"/>
        </w:rPr>
        <w:t>(</w:t>
      </w:r>
      <w:r w:rsidRPr="007C46AB">
        <w:rPr>
          <w:rFonts w:cs="Arial"/>
          <w:i/>
          <w:lang w:val="fr-CH"/>
        </w:rPr>
        <w:t>Ministère de la Famille, de l’Intégration et à la Grande-Région 2018 sur l’élaboration du nouveau Plan d’action national de mise en œuvre de la convention de l’ONU relative aux droits des personnes handicapées</w:t>
      </w:r>
      <w:r w:rsidRPr="00B92503">
        <w:rPr>
          <w:rFonts w:cs="Arial"/>
          <w:lang w:val="fr-CH"/>
        </w:rPr>
        <w:t xml:space="preserve">). </w:t>
      </w:r>
      <w:hyperlink r:id="rId21" w:history="1">
        <w:r w:rsidRPr="00B92503">
          <w:rPr>
            <w:rStyle w:val="Hyperlink"/>
            <w:rFonts w:cs="Arial"/>
            <w:lang w:val="fr-CH"/>
          </w:rPr>
          <w:t>https://mfamigr.gouvernement.lu/fr/actualites.gouvernement%2Bfr%2Bactualites%2Btoutes_actualites%2Bcommuniques%2B2018%2B07-juillet%2B03-reunion-personnes-handicapees.html</w:t>
        </w:r>
      </w:hyperlink>
      <w:r w:rsidRPr="00155052">
        <w:rPr>
          <w:rFonts w:cs="Arial"/>
          <w:lang w:val="fr-CH"/>
        </w:rPr>
        <w:t>.</w:t>
      </w:r>
      <w:r w:rsidRPr="00B92503">
        <w:rPr>
          <w:rFonts w:cs="Arial"/>
          <w:lang w:val="fr-CH"/>
        </w:rPr>
        <w:t xml:space="preserve"> </w:t>
      </w:r>
    </w:p>
  </w:footnote>
  <w:footnote w:id="23">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rPr>
        <w:t xml:space="preserve"> </w:t>
      </w:r>
      <w:r>
        <w:rPr>
          <w:rFonts w:cs="Arial"/>
        </w:rPr>
        <w:tab/>
      </w:r>
      <w:r w:rsidRPr="00B92503">
        <w:rPr>
          <w:rFonts w:cs="Arial"/>
        </w:rPr>
        <w:t xml:space="preserve">First national Report implementing the CRPD Luxembourg (2015, Point 194) </w:t>
      </w:r>
      <w:hyperlink r:id="rId22" w:history="1">
        <w:r w:rsidRPr="00B92503">
          <w:rPr>
            <w:rStyle w:val="Hyperlink"/>
            <w:rFonts w:cs="Arial"/>
          </w:rPr>
          <w:t>https://documents-dds-ny.un.org/doc/UNDOC/GEN/G15/201/47/PDF/G1520147.pdf?OpenElement</w:t>
        </w:r>
      </w:hyperlink>
      <w:r w:rsidRPr="00B92503">
        <w:rPr>
          <w:rFonts w:cs="Arial"/>
        </w:rPr>
        <w:t xml:space="preserve">. </w:t>
      </w:r>
    </w:p>
  </w:footnote>
  <w:footnote w:id="24">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de-DE"/>
        </w:rPr>
        <w:t xml:space="preserve"> </w:t>
      </w:r>
      <w:r>
        <w:rPr>
          <w:rFonts w:cs="Arial"/>
          <w:lang w:val="de-DE"/>
        </w:rPr>
        <w:tab/>
      </w:r>
      <w:r w:rsidRPr="00B92503">
        <w:rPr>
          <w:rFonts w:cs="Arial"/>
          <w:lang w:val="de-DE"/>
        </w:rPr>
        <w:t xml:space="preserve">Limbach-Reich, A. (2013). </w:t>
      </w:r>
      <w:r w:rsidRPr="007C46AB">
        <w:rPr>
          <w:rFonts w:cs="Arial"/>
          <w:i/>
          <w:lang w:val="de-DE"/>
        </w:rPr>
        <w:t>Inklusion im Widerstreit theoretischer und praxeologischer Konzepte. Kongress der Internationalen Gesellschaft für erzieherische Hilfen</w:t>
      </w:r>
      <w:r w:rsidRPr="00B92503">
        <w:rPr>
          <w:rFonts w:cs="Arial"/>
          <w:lang w:val="de-DE"/>
        </w:rPr>
        <w:t>; (</w:t>
      </w:r>
      <w:r w:rsidRPr="007C46AB">
        <w:rPr>
          <w:rFonts w:cs="Arial"/>
          <w:i/>
          <w:lang w:val="de-DE"/>
        </w:rPr>
        <w:t>Fédération Internationale des Communautés Educatives</w:t>
      </w:r>
      <w:r w:rsidRPr="00B92503">
        <w:rPr>
          <w:rFonts w:cs="Arial"/>
          <w:lang w:val="de-DE"/>
        </w:rPr>
        <w:t xml:space="preserve">; International Federation of Educative Communities. FICE). </w:t>
      </w:r>
      <w:r w:rsidRPr="006C2378">
        <w:rPr>
          <w:rFonts w:cs="Arial"/>
          <w:lang w:val="de-DE"/>
        </w:rPr>
        <w:t xml:space="preserve">Bern: Switzerland 07 - 12 October 2013. </w:t>
      </w:r>
      <w:hyperlink r:id="rId23" w:history="1">
        <w:r w:rsidRPr="00B92503">
          <w:rPr>
            <w:rStyle w:val="Hyperlink"/>
            <w:rFonts w:cs="Arial"/>
            <w:lang w:val="fr-CH"/>
          </w:rPr>
          <w:t>http://www.fice-congress2013.ch/programm/abstracts/inklusion-im-nationalen-widerstreit-theoretischer-und-praxeologischer-konze/</w:t>
        </w:r>
      </w:hyperlink>
      <w:r w:rsidRPr="00B92503">
        <w:rPr>
          <w:rFonts w:cs="Arial"/>
          <w:lang w:val="fr-CH"/>
        </w:rPr>
        <w:t xml:space="preserve"> </w:t>
      </w:r>
      <w:proofErr w:type="gramStart"/>
      <w:r w:rsidRPr="00B92503">
        <w:rPr>
          <w:rFonts w:cs="Arial"/>
          <w:lang w:val="fr-CH"/>
        </w:rPr>
        <w:t>Reference:</w:t>
      </w:r>
      <w:proofErr w:type="gramEnd"/>
      <w:r w:rsidRPr="007C46AB">
        <w:rPr>
          <w:rFonts w:cs="Arial"/>
          <w:i/>
          <w:lang w:val="fr-CH"/>
        </w:rPr>
        <w:t xml:space="preserve"> La Constitution du Grand-Duché de Luxembourg Chapitre II. – Des libertés publiques et des droits fondamentaux (Intitulé ainsi modifié par la révision du 02 juin 1999.) Article 11, (Révision du 29 mars 2007) Art. 11 Egalité devant la loi. </w:t>
      </w:r>
      <w:hyperlink r:id="rId24" w:history="1">
        <w:r w:rsidRPr="00B92503">
          <w:rPr>
            <w:rStyle w:val="Hyperlink"/>
            <w:rFonts w:cs="Arial"/>
            <w:lang w:val="fr-CH"/>
          </w:rPr>
          <w:t>http://www.legilux.public.lu/leg/textescoordonnes/recueils/Constitution/Constitution.pdf</w:t>
        </w:r>
      </w:hyperlink>
      <w:r w:rsidRPr="00F92E05">
        <w:rPr>
          <w:rFonts w:cs="Arial"/>
          <w:lang w:val="fr-CH"/>
        </w:rPr>
        <w:t>.</w:t>
      </w:r>
    </w:p>
  </w:footnote>
  <w:footnote w:id="25">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lang w:val="en-US"/>
        </w:rPr>
        <w:t xml:space="preserve"> </w:t>
      </w:r>
      <w:r>
        <w:rPr>
          <w:rFonts w:cs="Arial"/>
          <w:lang w:val="en-US"/>
        </w:rPr>
        <w:tab/>
      </w:r>
      <w:r w:rsidRPr="00B92503">
        <w:rPr>
          <w:rFonts w:cs="Arial"/>
          <w:lang w:val="en-US"/>
        </w:rPr>
        <w:t>OECD 2019 (</w:t>
      </w:r>
      <w:proofErr w:type="spellStart"/>
      <w:r w:rsidRPr="00B92503">
        <w:rPr>
          <w:rFonts w:cs="Arial"/>
          <w:lang w:val="en-US"/>
        </w:rPr>
        <w:t>OECD.stat</w:t>
      </w:r>
      <w:proofErr w:type="spellEnd"/>
      <w:r w:rsidRPr="00B92503">
        <w:rPr>
          <w:rFonts w:cs="Arial"/>
          <w:lang w:val="en-US"/>
        </w:rPr>
        <w:t xml:space="preserve"> </w:t>
      </w:r>
      <w:proofErr w:type="spellStart"/>
      <w:r w:rsidRPr="00B92503">
        <w:rPr>
          <w:rFonts w:cs="Arial"/>
          <w:lang w:val="en-US"/>
        </w:rPr>
        <w:t>Hompage</w:t>
      </w:r>
      <w:proofErr w:type="spellEnd"/>
      <w:r w:rsidRPr="00B92503">
        <w:rPr>
          <w:rFonts w:cs="Arial"/>
          <w:lang w:val="en-US"/>
        </w:rPr>
        <w:t xml:space="preserve">) Data based on and prepared by General Inspectorate of Social Security (IGSS). Preliminary results for 2016; Data refer to numbers as of 31st December every year and are not broken down by disability. </w:t>
      </w:r>
      <w:hyperlink r:id="rId25" w:history="1">
        <w:r w:rsidRPr="00B92503">
          <w:rPr>
            <w:rStyle w:val="Hyperlink"/>
            <w:rFonts w:cs="Arial"/>
            <w:lang w:val="en-US"/>
          </w:rPr>
          <w:t>https://stats.oecd.org/Index.aspx?QueryId=30142&amp;_ga=2.7185588.722996396.1547661294-1828482028.1541880394</w:t>
        </w:r>
      </w:hyperlink>
      <w:r w:rsidRPr="00B92503">
        <w:rPr>
          <w:rFonts w:cs="Arial"/>
        </w:rPr>
        <w:t>.</w:t>
      </w:r>
    </w:p>
  </w:footnote>
  <w:footnote w:id="26">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rPr>
        <w:t xml:space="preserve"> </w:t>
      </w:r>
      <w:r>
        <w:rPr>
          <w:rFonts w:cs="Arial"/>
        </w:rPr>
        <w:tab/>
      </w:r>
      <w:r w:rsidRPr="00B92503">
        <w:rPr>
          <w:rFonts w:cs="Arial"/>
          <w:lang w:val="en-US"/>
        </w:rPr>
        <w:t>OECD 2019 (</w:t>
      </w:r>
      <w:proofErr w:type="spellStart"/>
      <w:r w:rsidRPr="00B92503">
        <w:rPr>
          <w:rFonts w:cs="Arial"/>
          <w:lang w:val="en-US"/>
        </w:rPr>
        <w:t>OECD.stat</w:t>
      </w:r>
      <w:proofErr w:type="spellEnd"/>
      <w:r w:rsidRPr="00B92503">
        <w:rPr>
          <w:rFonts w:cs="Arial"/>
          <w:lang w:val="en-US"/>
        </w:rPr>
        <w:t xml:space="preserve"> </w:t>
      </w:r>
      <w:proofErr w:type="spellStart"/>
      <w:r w:rsidRPr="00B92503">
        <w:rPr>
          <w:rFonts w:cs="Arial"/>
          <w:lang w:val="en-US"/>
        </w:rPr>
        <w:t>Hompage</w:t>
      </w:r>
      <w:proofErr w:type="spellEnd"/>
      <w:r w:rsidRPr="00B92503">
        <w:rPr>
          <w:rFonts w:cs="Arial"/>
          <w:lang w:val="en-US"/>
        </w:rPr>
        <w:t xml:space="preserve">) Data based on and prepared by General Inspectorate of Social Security (IGSS). Preliminary results for 2016; Data refer to numbers as of 31st December every year and are not broken down by disability. </w:t>
      </w:r>
      <w:hyperlink r:id="rId26" w:history="1">
        <w:r w:rsidRPr="00B92503">
          <w:rPr>
            <w:rStyle w:val="Hyperlink"/>
            <w:rFonts w:cs="Arial"/>
            <w:lang w:val="en-US"/>
          </w:rPr>
          <w:t>https://stats.oecd.org/Index.aspx?QueryId=30142&amp;_ga=2.7185588.722996396.1547661294-1828482028.1541880394</w:t>
        </w:r>
      </w:hyperlink>
      <w:r w:rsidRPr="00B92503">
        <w:rPr>
          <w:rFonts w:cs="Arial"/>
        </w:rPr>
        <w:t>.</w:t>
      </w:r>
    </w:p>
  </w:footnote>
  <w:footnote w:id="27">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rPr>
        <w:t xml:space="preserve"> </w:t>
      </w:r>
      <w:r>
        <w:rPr>
          <w:rFonts w:cs="Arial"/>
        </w:rPr>
        <w:tab/>
      </w:r>
      <w:r w:rsidRPr="00B92503">
        <w:rPr>
          <w:rFonts w:cs="Arial"/>
          <w:lang w:val="en-US"/>
        </w:rPr>
        <w:t>OECD 2019 (</w:t>
      </w:r>
      <w:proofErr w:type="spellStart"/>
      <w:r w:rsidRPr="00B92503">
        <w:rPr>
          <w:rFonts w:cs="Arial"/>
          <w:lang w:val="en-US"/>
        </w:rPr>
        <w:t>OECD.stat</w:t>
      </w:r>
      <w:proofErr w:type="spellEnd"/>
      <w:r w:rsidRPr="00B92503">
        <w:rPr>
          <w:rFonts w:cs="Arial"/>
          <w:lang w:val="en-US"/>
        </w:rPr>
        <w:t xml:space="preserve"> </w:t>
      </w:r>
      <w:proofErr w:type="spellStart"/>
      <w:r w:rsidRPr="00B92503">
        <w:rPr>
          <w:rFonts w:cs="Arial"/>
          <w:lang w:val="en-US"/>
        </w:rPr>
        <w:t>Hompage</w:t>
      </w:r>
      <w:proofErr w:type="spellEnd"/>
      <w:r w:rsidRPr="00B92503">
        <w:rPr>
          <w:rFonts w:cs="Arial"/>
          <w:lang w:val="en-US"/>
        </w:rPr>
        <w:t xml:space="preserve">) Data based on and prepared by General Inspectorate of Social Security (IGSS). Preliminary results for 2016; Data refer to numbers as of 31st December every year and are not broken down by disability. </w:t>
      </w:r>
      <w:hyperlink r:id="rId27" w:history="1">
        <w:r w:rsidRPr="00B92503">
          <w:rPr>
            <w:rStyle w:val="Hyperlink"/>
            <w:rFonts w:cs="Arial"/>
            <w:lang w:val="en-US"/>
          </w:rPr>
          <w:t>https://stats.oecd.org/Index.aspx?QueryId=30142&amp;_ga=2.7185588.722996396.1547661294-1828482028.1541880394</w:t>
        </w:r>
      </w:hyperlink>
      <w:r w:rsidRPr="00B92503">
        <w:rPr>
          <w:rFonts w:cs="Arial"/>
        </w:rPr>
        <w:t>.</w:t>
      </w:r>
    </w:p>
  </w:footnote>
  <w:footnote w:id="28">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lang w:val="en-US"/>
        </w:rPr>
        <w:t xml:space="preserve"> </w:t>
      </w:r>
      <w:r>
        <w:rPr>
          <w:rFonts w:cs="Arial"/>
          <w:lang w:val="en-US"/>
        </w:rPr>
        <w:tab/>
      </w:r>
      <w:r w:rsidRPr="00B92503">
        <w:rPr>
          <w:rFonts w:cs="Arial"/>
          <w:lang w:val="en-US"/>
        </w:rPr>
        <w:t xml:space="preserve">FRA (2017- 2018) From institutions to community living - Part I: commitments and structures </w:t>
      </w:r>
      <w:hyperlink r:id="rId28" w:history="1">
        <w:r w:rsidRPr="00232D65">
          <w:rPr>
            <w:rStyle w:val="Hyperlink"/>
            <w:rFonts w:cs="Arial"/>
            <w:lang w:val="en-US"/>
          </w:rPr>
          <w:t>https://fra.europa.eu/en/publication/2017/independent-living-structures</w:t>
        </w:r>
      </w:hyperlink>
      <w:r w:rsidRPr="00B92503">
        <w:rPr>
          <w:rFonts w:cs="Arial"/>
          <w:lang w:val="en-US"/>
        </w:rPr>
        <w:t xml:space="preserve"> And </w:t>
      </w:r>
      <w:r>
        <w:rPr>
          <w:rFonts w:cs="Arial"/>
          <w:lang w:val="en-US"/>
        </w:rPr>
        <w:t>f</w:t>
      </w:r>
      <w:r w:rsidRPr="00B92503">
        <w:rPr>
          <w:rFonts w:cs="Arial"/>
          <w:lang w:val="en-US"/>
        </w:rPr>
        <w:t xml:space="preserve">rom institutions to community living - Part II: funding and budgeting </w:t>
      </w:r>
      <w:hyperlink r:id="rId29" w:history="1">
        <w:r w:rsidRPr="00B92503">
          <w:rPr>
            <w:rStyle w:val="Hyperlink"/>
            <w:rFonts w:cs="Arial"/>
            <w:lang w:val="en-US"/>
          </w:rPr>
          <w:t>https://fra.europa.eu/en/publication/2017/independent-living-funding</w:t>
        </w:r>
      </w:hyperlink>
      <w:r w:rsidRPr="00B92503">
        <w:rPr>
          <w:rFonts w:cs="Arial"/>
        </w:rPr>
        <w:t>.</w:t>
      </w:r>
      <w:r w:rsidRPr="00B92503">
        <w:rPr>
          <w:rFonts w:cs="Arial"/>
          <w:lang w:val="en-US"/>
        </w:rPr>
        <w:t xml:space="preserve"> </w:t>
      </w:r>
    </w:p>
  </w:footnote>
  <w:footnote w:id="29">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rPr>
        <w:t xml:space="preserve"> </w:t>
      </w:r>
      <w:r>
        <w:rPr>
          <w:rFonts w:cs="Arial"/>
        </w:rPr>
        <w:tab/>
      </w:r>
      <w:r w:rsidRPr="00B92503">
        <w:rPr>
          <w:rFonts w:cs="Arial"/>
        </w:rPr>
        <w:t xml:space="preserve">Community Living for Europe: Structural Funds Watch </w:t>
      </w:r>
      <w:hyperlink r:id="rId30" w:history="1">
        <w:r w:rsidRPr="00B92503">
          <w:rPr>
            <w:rStyle w:val="Hyperlink"/>
            <w:rFonts w:cs="Arial"/>
          </w:rPr>
          <w:t>https://communitylivingforeurope.org</w:t>
        </w:r>
      </w:hyperlink>
      <w:r w:rsidRPr="00B92503">
        <w:rPr>
          <w:rFonts w:cs="Arial"/>
        </w:rPr>
        <w:t>.</w:t>
      </w:r>
    </w:p>
  </w:footnote>
  <w:footnote w:id="30">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fr-CH"/>
        </w:rPr>
        <w:t xml:space="preserve"> </w:t>
      </w:r>
      <w:r>
        <w:rPr>
          <w:rFonts w:cs="Arial"/>
          <w:lang w:val="fr-CH"/>
        </w:rPr>
        <w:tab/>
      </w:r>
      <w:r w:rsidRPr="00B92503">
        <w:rPr>
          <w:rFonts w:cs="Arial"/>
          <w:lang w:val="fr-CH"/>
        </w:rPr>
        <w:t xml:space="preserve">Rapport Général sur la Sécurité Social au Grand-Duché de Luxembourg 2016. </w:t>
      </w:r>
      <w:hyperlink r:id="rId31" w:history="1">
        <w:r w:rsidRPr="00B92503">
          <w:rPr>
            <w:rStyle w:val="Hyperlink"/>
            <w:rFonts w:cs="Arial"/>
            <w:lang w:val="fr-CH"/>
          </w:rPr>
          <w:t>http://www.mss.public.lu/publications/rapport_general/rg2017/rg_2017.pdf</w:t>
        </w:r>
      </w:hyperlink>
      <w:r w:rsidRPr="00F92E05">
        <w:rPr>
          <w:rFonts w:cs="Arial"/>
          <w:lang w:val="fr-CH"/>
        </w:rPr>
        <w:t>.</w:t>
      </w:r>
      <w:r w:rsidRPr="00B92503">
        <w:rPr>
          <w:rFonts w:cs="Arial"/>
          <w:lang w:val="fr-CH"/>
        </w:rPr>
        <w:t xml:space="preserve"> </w:t>
      </w:r>
    </w:p>
  </w:footnote>
  <w:footnote w:id="31">
    <w:p w:rsidR="009E55DC" w:rsidRPr="00B92503" w:rsidRDefault="009E55DC" w:rsidP="00B92503">
      <w:pPr>
        <w:pStyle w:val="FootnoteText"/>
        <w:ind w:left="284" w:hanging="284"/>
        <w:jc w:val="left"/>
        <w:rPr>
          <w:rFonts w:cs="Arial"/>
        </w:rPr>
      </w:pPr>
      <w:r w:rsidRPr="00B92503">
        <w:rPr>
          <w:rStyle w:val="FootnoteReference"/>
          <w:rFonts w:eastAsia="MS Gothic" w:cs="Arial"/>
        </w:rPr>
        <w:footnoteRef/>
      </w:r>
      <w:r w:rsidRPr="00B92503">
        <w:rPr>
          <w:rFonts w:cs="Arial"/>
        </w:rPr>
        <w:t xml:space="preserve"> </w:t>
      </w:r>
      <w:r>
        <w:rPr>
          <w:rFonts w:cs="Arial"/>
        </w:rPr>
        <w:tab/>
      </w:r>
      <w:r w:rsidRPr="00B92503">
        <w:rPr>
          <w:rFonts w:cs="Arial"/>
        </w:rPr>
        <w:t>Including persons living collective households, such as old people's homes and nursing homes.</w:t>
      </w:r>
    </w:p>
  </w:footnote>
  <w:footnote w:id="32">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fr-CH"/>
        </w:rPr>
        <w:t xml:space="preserve"> </w:t>
      </w:r>
      <w:r>
        <w:rPr>
          <w:rFonts w:cs="Arial"/>
          <w:lang w:val="fr-CH"/>
        </w:rPr>
        <w:tab/>
      </w:r>
      <w:r w:rsidRPr="007C46AB">
        <w:rPr>
          <w:rFonts w:cs="Arial"/>
          <w:i/>
          <w:lang w:val="fr-CH"/>
        </w:rPr>
        <w:t>Rapport Général sur la Sécurité Social au Grand-Duché de Luxembourg 2016</w:t>
      </w:r>
      <w:r w:rsidRPr="00B92503">
        <w:rPr>
          <w:rFonts w:cs="Arial"/>
          <w:lang w:val="fr-CH"/>
        </w:rPr>
        <w:t xml:space="preserve">. </w:t>
      </w:r>
      <w:hyperlink r:id="rId32" w:history="1">
        <w:r w:rsidRPr="00B92503">
          <w:rPr>
            <w:rStyle w:val="Hyperlink"/>
            <w:rFonts w:cs="Arial"/>
            <w:lang w:val="fr-CH"/>
          </w:rPr>
          <w:t>http://www.mss.public.lu/publications/rapport_general/rg2016/rg_2016.pdf</w:t>
        </w:r>
      </w:hyperlink>
      <w:r w:rsidRPr="009E55DC">
        <w:rPr>
          <w:rStyle w:val="Hyperlink"/>
          <w:rFonts w:cs="Arial"/>
          <w:color w:val="auto"/>
          <w:u w:val="none"/>
          <w:lang w:val="fr-CH"/>
        </w:rPr>
        <w:t>;</w:t>
      </w:r>
      <w:r w:rsidRPr="00B92503">
        <w:rPr>
          <w:rFonts w:cs="Arial"/>
          <w:lang w:val="fr-CH"/>
        </w:rPr>
        <w:t xml:space="preserve"> </w:t>
      </w:r>
      <w:hyperlink r:id="rId33" w:history="1">
        <w:r w:rsidRPr="00232D65">
          <w:rPr>
            <w:rStyle w:val="Hyperlink"/>
            <w:rFonts w:cs="Arial"/>
            <w:lang w:val="fr-CH"/>
          </w:rPr>
          <w:t>http://www.mss.public.lu/publications/rapport_general/rg2017/rg_2017.pdf</w:t>
        </w:r>
      </w:hyperlink>
      <w:r w:rsidRPr="00F92E05">
        <w:rPr>
          <w:rFonts w:cs="Arial"/>
          <w:lang w:val="fr-CH"/>
        </w:rPr>
        <w:t>.</w:t>
      </w:r>
      <w:r w:rsidRPr="00B92503">
        <w:rPr>
          <w:rFonts w:cs="Arial"/>
          <w:lang w:val="fr-CH"/>
        </w:rPr>
        <w:t xml:space="preserve"> </w:t>
      </w:r>
    </w:p>
  </w:footnote>
  <w:footnote w:id="33">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fr-CH"/>
        </w:rPr>
        <w:t xml:space="preserve"> </w:t>
      </w:r>
      <w:r>
        <w:rPr>
          <w:rFonts w:cs="Arial"/>
          <w:lang w:val="fr-CH"/>
        </w:rPr>
        <w:tab/>
      </w:r>
      <w:proofErr w:type="spellStart"/>
      <w:r w:rsidRPr="007C46AB">
        <w:rPr>
          <w:rFonts w:cs="Arial"/>
          <w:i/>
          <w:lang w:val="fr-CH"/>
        </w:rPr>
        <w:t>Ministère</w:t>
      </w:r>
      <w:proofErr w:type="spellEnd"/>
      <w:r w:rsidRPr="007C46AB">
        <w:rPr>
          <w:rFonts w:cs="Arial"/>
          <w:i/>
          <w:lang w:val="fr-CH"/>
        </w:rPr>
        <w:t xml:space="preserve"> de la Famille, de l’</w:t>
      </w:r>
      <w:proofErr w:type="spellStart"/>
      <w:r w:rsidRPr="007C46AB">
        <w:rPr>
          <w:rFonts w:cs="Arial"/>
          <w:i/>
          <w:lang w:val="fr-CH"/>
        </w:rPr>
        <w:t>Intégration</w:t>
      </w:r>
      <w:proofErr w:type="spellEnd"/>
      <w:r w:rsidRPr="007C46AB">
        <w:rPr>
          <w:rFonts w:cs="Arial"/>
          <w:i/>
          <w:lang w:val="fr-CH"/>
        </w:rPr>
        <w:t xml:space="preserve"> et à la Grande </w:t>
      </w:r>
      <w:proofErr w:type="spellStart"/>
      <w:r w:rsidRPr="007C46AB">
        <w:rPr>
          <w:rFonts w:cs="Arial"/>
          <w:i/>
          <w:lang w:val="fr-CH"/>
        </w:rPr>
        <w:t>Région</w:t>
      </w:r>
      <w:proofErr w:type="spellEnd"/>
      <w:r w:rsidRPr="007C46AB">
        <w:rPr>
          <w:rFonts w:cs="Arial"/>
          <w:i/>
          <w:lang w:val="fr-CH"/>
        </w:rPr>
        <w:t xml:space="preserve"> - Rapport d’</w:t>
      </w:r>
      <w:proofErr w:type="spellStart"/>
      <w:r w:rsidRPr="007C46AB">
        <w:rPr>
          <w:rFonts w:cs="Arial"/>
          <w:i/>
          <w:lang w:val="fr-CH"/>
        </w:rPr>
        <w:t>activite</w:t>
      </w:r>
      <w:proofErr w:type="spellEnd"/>
      <w:r w:rsidRPr="007C46AB">
        <w:rPr>
          <w:rFonts w:cs="Arial"/>
          <w:i/>
          <w:lang w:val="fr-CH"/>
        </w:rPr>
        <w:t>́ 2017</w:t>
      </w:r>
      <w:r w:rsidRPr="00B92503">
        <w:rPr>
          <w:rFonts w:cs="Arial"/>
          <w:lang w:val="fr-CH"/>
        </w:rPr>
        <w:t xml:space="preserve">. </w:t>
      </w:r>
      <w:hyperlink r:id="rId34" w:history="1">
        <w:r w:rsidRPr="00B92503">
          <w:rPr>
            <w:rStyle w:val="Hyperlink"/>
            <w:rFonts w:cs="Arial"/>
            <w:lang w:val="fr-CH"/>
          </w:rPr>
          <w:t>https://gouvernement.lu/dam-assets/fr/publications/rapport-activite/minist-famille-integration-grande-region/2017-rapport-activite-famille/2017-rapport-activite-famille.pdf</w:t>
        </w:r>
      </w:hyperlink>
      <w:r w:rsidRPr="00F92E05">
        <w:rPr>
          <w:rFonts w:cs="Arial"/>
          <w:lang w:val="fr-CH"/>
        </w:rPr>
        <w:t>.</w:t>
      </w:r>
      <w:r w:rsidRPr="00B92503">
        <w:rPr>
          <w:rFonts w:cs="Arial"/>
          <w:lang w:val="fr-CH"/>
        </w:rPr>
        <w:t xml:space="preserve"> </w:t>
      </w:r>
    </w:p>
  </w:footnote>
  <w:footnote w:id="34">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lang w:val="en-US"/>
        </w:rPr>
        <w:t xml:space="preserve"> </w:t>
      </w:r>
      <w:r>
        <w:rPr>
          <w:rFonts w:cs="Arial"/>
          <w:lang w:val="en-US"/>
        </w:rPr>
        <w:tab/>
      </w:r>
      <w:r w:rsidRPr="00B92503">
        <w:rPr>
          <w:rFonts w:cs="Arial"/>
          <w:lang w:val="en-US"/>
        </w:rPr>
        <w:t xml:space="preserve">OECD (2019) Data prepared by General Inspectorate of Social Security (IGSS). Preliminary results for 2016; Data refer to numbers as of 31st December every year and are not broken down by disability. </w:t>
      </w:r>
      <w:hyperlink r:id="rId35" w:history="1">
        <w:r w:rsidRPr="00B92503">
          <w:rPr>
            <w:rStyle w:val="Hyperlink"/>
            <w:rFonts w:cs="Arial"/>
            <w:lang w:val="en-US"/>
          </w:rPr>
          <w:t>https://stats.oecd.org/Index.aspx?QueryId=30142&amp;_ga=2.7185588.722996396.1547661294-1828482028.1541880394</w:t>
        </w:r>
      </w:hyperlink>
      <w:r w:rsidRPr="00B92503">
        <w:rPr>
          <w:rFonts w:cs="Arial"/>
        </w:rPr>
        <w:t>.</w:t>
      </w:r>
    </w:p>
  </w:footnote>
  <w:footnote w:id="35">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lang w:val="en-US"/>
        </w:rPr>
        <w:t xml:space="preserve"> </w:t>
      </w:r>
      <w:r>
        <w:rPr>
          <w:rFonts w:cs="Arial"/>
          <w:lang w:val="en-US"/>
        </w:rPr>
        <w:tab/>
      </w:r>
      <w:r w:rsidRPr="00B92503">
        <w:rPr>
          <w:rFonts w:cs="Arial"/>
          <w:lang w:val="en-US"/>
        </w:rPr>
        <w:t>OECD 2019 (</w:t>
      </w:r>
      <w:proofErr w:type="spellStart"/>
      <w:r w:rsidRPr="00B92503">
        <w:rPr>
          <w:rFonts w:cs="Arial"/>
          <w:lang w:val="en-US"/>
        </w:rPr>
        <w:t>OECD.stat</w:t>
      </w:r>
      <w:proofErr w:type="spellEnd"/>
      <w:r w:rsidRPr="00B92503">
        <w:rPr>
          <w:rFonts w:cs="Arial"/>
          <w:lang w:val="en-US"/>
        </w:rPr>
        <w:t xml:space="preserve"> </w:t>
      </w:r>
      <w:proofErr w:type="spellStart"/>
      <w:r w:rsidRPr="00B92503">
        <w:rPr>
          <w:rFonts w:cs="Arial"/>
          <w:lang w:val="en-US"/>
        </w:rPr>
        <w:t>Hompage</w:t>
      </w:r>
      <w:proofErr w:type="spellEnd"/>
      <w:r w:rsidRPr="00B92503">
        <w:rPr>
          <w:rFonts w:cs="Arial"/>
          <w:lang w:val="en-US"/>
        </w:rPr>
        <w:t xml:space="preserve">) Data based on and prepared by General Inspectorate of Social Security (IGSS). Preliminary results for 2016; Data refer to numbers as of 31st December every year and are not broken down by disability. </w:t>
      </w:r>
      <w:hyperlink r:id="rId36" w:history="1">
        <w:r w:rsidRPr="00B92503">
          <w:rPr>
            <w:rStyle w:val="Hyperlink"/>
            <w:rFonts w:cs="Arial"/>
            <w:lang w:val="en-US"/>
          </w:rPr>
          <w:t>https://stats.oecd.org/Index.aspx?QueryId=30142&amp;_ga=2.7185588.722996396.1547661294-1828482028.1541880394</w:t>
        </w:r>
      </w:hyperlink>
      <w:r w:rsidRPr="00B92503">
        <w:rPr>
          <w:rFonts w:cs="Arial"/>
        </w:rPr>
        <w:t>.</w:t>
      </w:r>
    </w:p>
  </w:footnote>
  <w:footnote w:id="36">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en-US"/>
        </w:rPr>
        <w:t xml:space="preserve"> </w:t>
      </w:r>
      <w:r>
        <w:rPr>
          <w:rFonts w:cs="Arial"/>
          <w:lang w:val="en-US"/>
        </w:rPr>
        <w:tab/>
      </w:r>
      <w:r w:rsidRPr="00B92503">
        <w:rPr>
          <w:rFonts w:cs="Arial"/>
          <w:lang w:val="en-US"/>
        </w:rPr>
        <w:t>OECD 2019 (</w:t>
      </w:r>
      <w:proofErr w:type="spellStart"/>
      <w:r w:rsidRPr="00B92503">
        <w:rPr>
          <w:rFonts w:cs="Arial"/>
          <w:lang w:val="en-US"/>
        </w:rPr>
        <w:t>OECD.stat</w:t>
      </w:r>
      <w:proofErr w:type="spellEnd"/>
      <w:r w:rsidRPr="00B92503">
        <w:rPr>
          <w:rFonts w:cs="Arial"/>
          <w:lang w:val="en-US"/>
        </w:rPr>
        <w:t xml:space="preserve"> </w:t>
      </w:r>
      <w:proofErr w:type="spellStart"/>
      <w:r w:rsidRPr="00B92503">
        <w:rPr>
          <w:rFonts w:cs="Arial"/>
          <w:lang w:val="en-US"/>
        </w:rPr>
        <w:t>Hompage</w:t>
      </w:r>
      <w:proofErr w:type="spellEnd"/>
      <w:r w:rsidRPr="00B92503">
        <w:rPr>
          <w:rFonts w:cs="Arial"/>
          <w:lang w:val="en-US"/>
        </w:rPr>
        <w:t xml:space="preserve">) Data based on and prepared by General Inspectorate of Social Security (IGSS). Preliminary results for 2016; Data refer to numbers as of 31st December every year and are not broken down by disability. </w:t>
      </w:r>
      <w:hyperlink r:id="rId37" w:history="1">
        <w:r w:rsidRPr="00B92503">
          <w:rPr>
            <w:rStyle w:val="Hyperlink"/>
            <w:rFonts w:cs="Arial"/>
            <w:lang w:val="fr-CH"/>
          </w:rPr>
          <w:t>https://stats.oecd.org/Index.aspx?QueryId=30142&amp;_ga=2.7185588.722996396.1547661294-1828482028.1541880394</w:t>
        </w:r>
      </w:hyperlink>
      <w:r w:rsidRPr="00F92E05">
        <w:rPr>
          <w:rFonts w:cs="Arial"/>
          <w:lang w:val="fr-FR"/>
        </w:rPr>
        <w:t>.</w:t>
      </w:r>
    </w:p>
  </w:footnote>
  <w:footnote w:id="37">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fr-CH"/>
        </w:rPr>
        <w:t xml:space="preserve"> </w:t>
      </w:r>
      <w:r>
        <w:rPr>
          <w:rFonts w:cs="Arial"/>
          <w:lang w:val="fr-CH"/>
        </w:rPr>
        <w:tab/>
      </w:r>
      <w:r w:rsidRPr="007C46AB">
        <w:rPr>
          <w:rFonts w:cs="Arial"/>
          <w:i/>
          <w:lang w:val="fr-CH"/>
        </w:rPr>
        <w:t>Rapport Général sur la Sécurité Social au Grand-Duché de Luxembourg 2016</w:t>
      </w:r>
      <w:r w:rsidRPr="00B92503">
        <w:rPr>
          <w:rFonts w:cs="Arial"/>
          <w:lang w:val="fr-CH"/>
        </w:rPr>
        <w:t xml:space="preserve"> </w:t>
      </w:r>
      <w:hyperlink r:id="rId38" w:history="1">
        <w:r w:rsidRPr="00B92503">
          <w:rPr>
            <w:rStyle w:val="Hyperlink"/>
            <w:rFonts w:cs="Arial"/>
            <w:lang w:val="fr-CH"/>
          </w:rPr>
          <w:t>http://www.mss.public.lu/publications/rapport_general/rg2016/rg_2016.pdf</w:t>
        </w:r>
      </w:hyperlink>
      <w:r w:rsidRPr="00F92E05">
        <w:rPr>
          <w:rFonts w:cs="Arial"/>
          <w:lang w:val="fr-CH"/>
        </w:rPr>
        <w:t>;</w:t>
      </w:r>
      <w:r>
        <w:rPr>
          <w:rFonts w:cs="Arial"/>
          <w:lang w:val="fr-CH"/>
        </w:rPr>
        <w:t xml:space="preserve"> </w:t>
      </w:r>
      <w:hyperlink r:id="rId39" w:history="1">
        <w:r w:rsidRPr="00232D65">
          <w:rPr>
            <w:rStyle w:val="Hyperlink"/>
            <w:rFonts w:cs="Arial"/>
            <w:lang w:val="fr-CH"/>
          </w:rPr>
          <w:t>http://www.mss.public.lu/publications/rapport_general/rg2017/rg_2017.pdf</w:t>
        </w:r>
      </w:hyperlink>
      <w:r w:rsidRPr="00F92E05">
        <w:rPr>
          <w:rFonts w:cs="Arial"/>
          <w:lang w:val="fr-FR"/>
        </w:rPr>
        <w:t>.</w:t>
      </w:r>
      <w:r w:rsidRPr="00B92503">
        <w:rPr>
          <w:rFonts w:cs="Arial"/>
          <w:lang w:val="fr-CH"/>
        </w:rPr>
        <w:t xml:space="preserve"> </w:t>
      </w:r>
    </w:p>
  </w:footnote>
  <w:footnote w:id="38">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lang w:val="en-US"/>
        </w:rPr>
        <w:t xml:space="preserve"> </w:t>
      </w:r>
      <w:r>
        <w:rPr>
          <w:rFonts w:cs="Arial"/>
          <w:lang w:val="en-US"/>
        </w:rPr>
        <w:tab/>
      </w:r>
      <w:r w:rsidRPr="00B92503">
        <w:rPr>
          <w:rFonts w:cs="Arial"/>
          <w:lang w:val="en-US"/>
        </w:rPr>
        <w:t xml:space="preserve">Ministry of Family affairs -MFI (2017) </w:t>
      </w:r>
      <w:hyperlink r:id="rId40" w:history="1">
        <w:r w:rsidRPr="00B92503">
          <w:rPr>
            <w:rStyle w:val="Hyperlink"/>
            <w:rFonts w:cs="Arial"/>
            <w:lang w:val="en-US"/>
          </w:rPr>
          <w:t>https://gouvernement.lu/dam-assets/fr/publications/rapport-activite/minist-famille-integration-grande-region/2017-rapport-activite-famille/2017-rapport-activite-famille.pdf</w:t>
        </w:r>
      </w:hyperlink>
      <w:r w:rsidRPr="00B92503">
        <w:rPr>
          <w:rFonts w:cs="Arial"/>
        </w:rPr>
        <w:t>.</w:t>
      </w:r>
      <w:r w:rsidRPr="00B92503">
        <w:rPr>
          <w:rFonts w:cs="Arial"/>
          <w:lang w:val="en-US"/>
        </w:rPr>
        <w:t xml:space="preserve"> </w:t>
      </w:r>
    </w:p>
  </w:footnote>
  <w:footnote w:id="39">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rPr>
        <w:t xml:space="preserve"> </w:t>
      </w:r>
      <w:r>
        <w:rPr>
          <w:rFonts w:cs="Arial"/>
        </w:rPr>
        <w:tab/>
      </w:r>
      <w:r w:rsidRPr="00B92503">
        <w:rPr>
          <w:rFonts w:cs="Arial"/>
          <w:lang w:val="en-US"/>
        </w:rPr>
        <w:t xml:space="preserve">Ministry of social affairs (2017) </w:t>
      </w:r>
      <w:hyperlink r:id="rId41" w:history="1">
        <w:r w:rsidRPr="00B92503">
          <w:rPr>
            <w:rStyle w:val="Hyperlink"/>
            <w:rFonts w:cs="Arial"/>
            <w:lang w:val="en-US"/>
          </w:rPr>
          <w:t>http://www.mss.public.lu/publications/rapport_general/index.html</w:t>
        </w:r>
      </w:hyperlink>
      <w:r w:rsidRPr="00B92503">
        <w:rPr>
          <w:rFonts w:cs="Arial"/>
        </w:rPr>
        <w:t>.</w:t>
      </w:r>
      <w:r w:rsidRPr="00B92503">
        <w:rPr>
          <w:rFonts w:cs="Arial"/>
          <w:lang w:val="en-US"/>
        </w:rPr>
        <w:t xml:space="preserve"> </w:t>
      </w:r>
    </w:p>
  </w:footnote>
  <w:footnote w:id="40">
    <w:p w:rsidR="009E55DC" w:rsidRPr="00F92E05" w:rsidRDefault="009E55DC" w:rsidP="00B92503">
      <w:pPr>
        <w:pStyle w:val="FootnoteText"/>
        <w:ind w:left="284" w:hanging="284"/>
        <w:jc w:val="left"/>
        <w:rPr>
          <w:rFonts w:cs="Arial"/>
          <w:lang w:val="fr-FR"/>
        </w:rPr>
      </w:pPr>
      <w:r w:rsidRPr="00B92503">
        <w:rPr>
          <w:rStyle w:val="FootnoteReference"/>
          <w:rFonts w:cs="Arial"/>
        </w:rPr>
        <w:footnoteRef/>
      </w:r>
      <w:r w:rsidRPr="00B92503">
        <w:rPr>
          <w:rFonts w:cs="Arial"/>
          <w:lang w:val="fr-CH"/>
        </w:rPr>
        <w:t xml:space="preserve"> </w:t>
      </w:r>
      <w:r>
        <w:rPr>
          <w:rFonts w:cs="Arial"/>
          <w:lang w:val="fr-CH"/>
        </w:rPr>
        <w:tab/>
      </w:r>
      <w:r w:rsidRPr="007C46AB">
        <w:rPr>
          <w:rFonts w:cs="Arial"/>
          <w:i/>
          <w:lang w:val="fr-CH"/>
        </w:rPr>
        <w:t xml:space="preserve">Rapport Général sur la Sécurité Social au Grand-Duché de Luxembourg </w:t>
      </w:r>
      <w:r w:rsidRPr="00B92503">
        <w:rPr>
          <w:rFonts w:cs="Arial"/>
          <w:lang w:val="fr-CH"/>
        </w:rPr>
        <w:t xml:space="preserve">(2016) </w:t>
      </w:r>
      <w:hyperlink r:id="rId42" w:history="1">
        <w:r w:rsidRPr="00B92503">
          <w:rPr>
            <w:rStyle w:val="Hyperlink"/>
            <w:rFonts w:cs="Arial"/>
            <w:lang w:val="fr-CH"/>
          </w:rPr>
          <w:t>http://www.mss.public.lu/publications/rapport_general/rg2017/rg_2017.pdf</w:t>
        </w:r>
      </w:hyperlink>
      <w:r w:rsidRPr="00F92E05">
        <w:rPr>
          <w:rFonts w:cs="Arial"/>
          <w:lang w:val="fr-FR"/>
        </w:rPr>
        <w:t>.</w:t>
      </w:r>
    </w:p>
  </w:footnote>
  <w:footnote w:id="41">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fr-CH"/>
        </w:rPr>
        <w:t xml:space="preserve"> </w:t>
      </w:r>
      <w:r>
        <w:rPr>
          <w:rFonts w:cs="Arial"/>
          <w:lang w:val="fr-CH"/>
        </w:rPr>
        <w:tab/>
      </w:r>
      <w:proofErr w:type="spellStart"/>
      <w:r w:rsidRPr="007C46AB">
        <w:rPr>
          <w:rFonts w:cs="Arial"/>
          <w:i/>
          <w:lang w:val="fr-CH"/>
        </w:rPr>
        <w:t>Securité</w:t>
      </w:r>
      <w:proofErr w:type="spellEnd"/>
      <w:r w:rsidRPr="007C46AB">
        <w:rPr>
          <w:rFonts w:cs="Arial"/>
          <w:i/>
          <w:lang w:val="fr-CH"/>
        </w:rPr>
        <w:t xml:space="preserve"> social 2017</w:t>
      </w:r>
      <w:r w:rsidRPr="00B92503">
        <w:rPr>
          <w:rFonts w:cs="Arial"/>
          <w:lang w:val="fr-CH"/>
        </w:rPr>
        <w:t xml:space="preserve"> </w:t>
      </w:r>
      <w:hyperlink r:id="rId43" w:history="1">
        <w:r w:rsidRPr="00B92503">
          <w:rPr>
            <w:rStyle w:val="Hyperlink"/>
            <w:rFonts w:cs="Arial"/>
            <w:lang w:val="fr-CH"/>
          </w:rPr>
          <w:t>http://www.mss.public.lu/publications/rapport_general/rg2017/rg_2017.pdf</w:t>
        </w:r>
      </w:hyperlink>
      <w:r w:rsidRPr="00B92503">
        <w:rPr>
          <w:rFonts w:cs="Arial"/>
          <w:lang w:val="fr-CH"/>
        </w:rPr>
        <w:t xml:space="preserve"> p.132</w:t>
      </w:r>
      <w:r>
        <w:rPr>
          <w:rFonts w:cs="Arial"/>
          <w:lang w:val="fr-CH"/>
        </w:rPr>
        <w:t>.</w:t>
      </w:r>
    </w:p>
  </w:footnote>
  <w:footnote w:id="42">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fr-CH"/>
        </w:rPr>
        <w:t xml:space="preserve"> </w:t>
      </w:r>
      <w:r>
        <w:rPr>
          <w:rFonts w:cs="Arial"/>
          <w:lang w:val="fr-CH"/>
        </w:rPr>
        <w:tab/>
      </w:r>
      <w:r w:rsidRPr="007C46AB">
        <w:rPr>
          <w:rFonts w:cs="Arial"/>
          <w:i/>
          <w:lang w:val="fr-CH"/>
        </w:rPr>
        <w:t>Ministère aux Handicapés et aux Accidentés de la Vie (1997). Evaluation de la situation des personnes handicapées au Luxembourg. Plan d’action en faveur des personnes handicapées</w:t>
      </w:r>
      <w:r w:rsidRPr="00B92503">
        <w:rPr>
          <w:rFonts w:cs="Arial"/>
          <w:lang w:val="fr-CH"/>
        </w:rPr>
        <w:t xml:space="preserve">. </w:t>
      </w:r>
      <w:proofErr w:type="gramStart"/>
      <w:r w:rsidRPr="00B92503">
        <w:rPr>
          <w:rFonts w:cs="Arial"/>
          <w:lang w:val="fr-CH"/>
        </w:rPr>
        <w:t>Luxembourg:</w:t>
      </w:r>
      <w:proofErr w:type="gramEnd"/>
      <w:r w:rsidRPr="00B92503">
        <w:rPr>
          <w:rFonts w:cs="Arial"/>
          <w:lang w:val="fr-CH"/>
        </w:rPr>
        <w:t xml:space="preserve"> MHAV. </w:t>
      </w:r>
      <w:hyperlink r:id="rId44" w:history="1">
        <w:r w:rsidRPr="00B07447">
          <w:rPr>
            <w:rStyle w:val="Hyperlink"/>
            <w:rFonts w:cs="Arial"/>
            <w:lang w:val="fr-CH"/>
          </w:rPr>
          <w:t>http://www.info</w:t>
        </w:r>
        <w:r w:rsidRPr="00B07447">
          <w:rPr>
            <w:rStyle w:val="Hyperlink"/>
            <w:rFonts w:cs="Arial"/>
            <w:lang w:val="fr-CH"/>
          </w:rPr>
          <w:noBreakHyphen/>
          <w:t>handicap.lu/index2.php?option=com_docman&amp;task=doc_view&amp;gid=36&amp;Itemid=26</w:t>
        </w:r>
      </w:hyperlink>
      <w:r w:rsidRPr="00B92503">
        <w:rPr>
          <w:rFonts w:cs="Arial"/>
          <w:lang w:val="fr-CH"/>
        </w:rPr>
        <w:t xml:space="preserve"> site no longer </w:t>
      </w:r>
      <w:proofErr w:type="spellStart"/>
      <w:r w:rsidRPr="00B92503">
        <w:rPr>
          <w:rFonts w:cs="Arial"/>
          <w:lang w:val="fr-CH"/>
        </w:rPr>
        <w:t>available</w:t>
      </w:r>
      <w:proofErr w:type="spellEnd"/>
      <w:r w:rsidRPr="00B92503">
        <w:rPr>
          <w:rFonts w:cs="Arial"/>
          <w:lang w:val="fr-CH"/>
        </w:rPr>
        <w:t xml:space="preserve"> source Limbach-Reich (2011)</w:t>
      </w:r>
      <w:r>
        <w:rPr>
          <w:rFonts w:cs="Arial"/>
          <w:lang w:val="fr-CH"/>
        </w:rPr>
        <w:t>.</w:t>
      </w:r>
      <w:r w:rsidRPr="00B92503">
        <w:rPr>
          <w:rFonts w:cs="Arial"/>
          <w:lang w:val="fr-CH"/>
        </w:rPr>
        <w:t xml:space="preserve"> </w:t>
      </w:r>
    </w:p>
  </w:footnote>
  <w:footnote w:id="43">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rPr>
        <w:t xml:space="preserve"> </w:t>
      </w:r>
      <w:r>
        <w:rPr>
          <w:rFonts w:cs="Arial"/>
        </w:rPr>
        <w:tab/>
      </w:r>
      <w:r w:rsidRPr="00B92503">
        <w:rPr>
          <w:rFonts w:cs="Arial"/>
        </w:rPr>
        <w:t>In 2018, the structures of the special education system (</w:t>
      </w:r>
      <w:proofErr w:type="spellStart"/>
      <w:r w:rsidRPr="00B92503">
        <w:rPr>
          <w:rFonts w:cs="Arial"/>
          <w:i/>
        </w:rPr>
        <w:t>éducation</w:t>
      </w:r>
      <w:proofErr w:type="spellEnd"/>
      <w:r w:rsidRPr="00B92503">
        <w:rPr>
          <w:rFonts w:cs="Arial"/>
          <w:i/>
        </w:rPr>
        <w:t xml:space="preserve"> </w:t>
      </w:r>
      <w:proofErr w:type="spellStart"/>
      <w:r w:rsidRPr="00B92503">
        <w:rPr>
          <w:rFonts w:cs="Arial"/>
          <w:i/>
        </w:rPr>
        <w:t>différenciée</w:t>
      </w:r>
      <w:proofErr w:type="spellEnd"/>
      <w:r w:rsidRPr="00B92503">
        <w:rPr>
          <w:rFonts w:cs="Arial"/>
        </w:rPr>
        <w:t xml:space="preserve">) were replaced by a system of national competence centres designed towards better inclusion of pupils with special needs. </w:t>
      </w:r>
      <w:hyperlink r:id="rId45" w:history="1">
        <w:r w:rsidRPr="00B92503">
          <w:rPr>
            <w:rStyle w:val="Hyperlink"/>
            <w:rFonts w:cs="Arial"/>
          </w:rPr>
          <w:t>http://www.men.public.lu/fr/actualites/articles/communiques-conference-presse/2018/06/26-centres-competences/index.html</w:t>
        </w:r>
      </w:hyperlink>
      <w:r w:rsidRPr="00B92503">
        <w:rPr>
          <w:rFonts w:cs="Arial"/>
        </w:rPr>
        <w:t xml:space="preserve">. </w:t>
      </w:r>
    </w:p>
  </w:footnote>
  <w:footnote w:id="44">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lang w:val="de-DE"/>
        </w:rPr>
        <w:t xml:space="preserve"> </w:t>
      </w:r>
      <w:r>
        <w:rPr>
          <w:rFonts w:cs="Arial"/>
          <w:lang w:val="de-DE"/>
        </w:rPr>
        <w:tab/>
      </w:r>
      <w:r w:rsidRPr="00B92503">
        <w:rPr>
          <w:rFonts w:cs="Arial"/>
          <w:lang w:val="de-DE"/>
        </w:rPr>
        <w:t xml:space="preserve">Sagramola, S. (2009). </w:t>
      </w:r>
      <w:r w:rsidRPr="00B92503">
        <w:rPr>
          <w:rFonts w:cs="Arial"/>
          <w:i/>
          <w:lang w:val="de-DE"/>
        </w:rPr>
        <w:t>Behindertenpolitik</w:t>
      </w:r>
      <w:r w:rsidRPr="00B92503">
        <w:rPr>
          <w:rFonts w:cs="Arial"/>
          <w:lang w:val="de-DE"/>
        </w:rPr>
        <w:t xml:space="preserve">. In: H. Willems, G. Rotink, D. Ferring, J. Schoos, M. Majerus, N. Ewen, M.A. Rodesch-Hengesch, C. Schmit (Ed.), </w:t>
      </w:r>
      <w:r w:rsidRPr="00B92503">
        <w:rPr>
          <w:rFonts w:cs="Arial"/>
          <w:i/>
          <w:lang w:val="de-DE"/>
        </w:rPr>
        <w:t xml:space="preserve">Handbuch der sozialen und erzieher–ischen Arbeit in Luxemburg. Manuel de l'intervention sociale et éducative au Grand-Duché de Luxem–bourg </w:t>
      </w:r>
      <w:r w:rsidRPr="00B92503">
        <w:rPr>
          <w:rFonts w:cs="Arial"/>
          <w:lang w:val="de-DE"/>
        </w:rPr>
        <w:t xml:space="preserve">(unter Mitarbeit von C. Reuter, M. Schneider, K. Brandhorst). </w:t>
      </w:r>
      <w:r w:rsidRPr="00B92503">
        <w:rPr>
          <w:rFonts w:cs="Arial"/>
        </w:rPr>
        <w:t>Luxemburg: Éditions Saint-Paul, 341-342.</w:t>
      </w:r>
    </w:p>
  </w:footnote>
  <w:footnote w:id="45">
    <w:p w:rsidR="009E55DC" w:rsidRPr="00B92503" w:rsidRDefault="009E55DC" w:rsidP="00B92503">
      <w:pPr>
        <w:ind w:left="284" w:hanging="284"/>
        <w:jc w:val="left"/>
        <w:rPr>
          <w:rFonts w:cs="Arial"/>
          <w:sz w:val="20"/>
        </w:rPr>
      </w:pPr>
      <w:r w:rsidRPr="00B92503">
        <w:rPr>
          <w:rStyle w:val="FootnoteReference"/>
          <w:rFonts w:cs="Arial"/>
        </w:rPr>
        <w:footnoteRef/>
      </w:r>
      <w:r w:rsidRPr="00B92503">
        <w:rPr>
          <w:rFonts w:cs="Arial"/>
          <w:sz w:val="20"/>
        </w:rPr>
        <w:t xml:space="preserve"> </w:t>
      </w:r>
      <w:r>
        <w:rPr>
          <w:rFonts w:cs="Arial"/>
          <w:sz w:val="20"/>
        </w:rPr>
        <w:tab/>
      </w:r>
      <w:r w:rsidRPr="00B92503">
        <w:rPr>
          <w:rFonts w:cs="Arial"/>
          <w:sz w:val="20"/>
        </w:rPr>
        <w:t xml:space="preserve">The sources mentioned by the Consortium here are hardly suitable: </w:t>
      </w:r>
      <w:hyperlink r:id="rId46" w:anchor="https://www.disability-europe.net/dotcom?l%5B%5D=6&amp;l%5B%5D=7&amp;l%5B%5D=8&amp;l%5B%5D=9&amp;l%5B%5D=10&amp;l%5B%5D=11&amp;l%5B%5D=12&amp;l%5B%5D=13&amp;l%5B%5D=14&amp;l%5B%5D=15&amp;l%5B%5D=16&amp;l%5B%5D=17&amp;l%5B%5D=18&amp;l%5B%5D=19&amp;l%5B%5D=20&amp;" w:history="1">
        <w:r w:rsidRPr="00B92503">
          <w:rPr>
            <w:rStyle w:val="Hyperlink"/>
            <w:rFonts w:cs="Arial"/>
            <w:sz w:val="20"/>
          </w:rPr>
          <w:t>DOTCOM deinstitutionalisation</w:t>
        </w:r>
      </w:hyperlink>
      <w:r w:rsidRPr="00B92503">
        <w:rPr>
          <w:rFonts w:cs="Arial"/>
          <w:sz w:val="20"/>
        </w:rPr>
        <w:t xml:space="preserve"> contains more summarising data and less political declarations of intent</w:t>
      </w:r>
      <w:r>
        <w:rPr>
          <w:rFonts w:cs="Arial"/>
          <w:sz w:val="20"/>
        </w:rPr>
        <w:t xml:space="preserve"> </w:t>
      </w:r>
      <w:hyperlink r:id="rId47" w:history="1">
        <w:r w:rsidRPr="00B92503">
          <w:rPr>
            <w:rStyle w:val="Hyperlink"/>
            <w:rFonts w:cs="Arial"/>
            <w:sz w:val="20"/>
          </w:rPr>
          <w:t>Community Living for Europe: Structural Funds Watch country profiles</w:t>
        </w:r>
      </w:hyperlink>
      <w:r w:rsidRPr="009E55DC">
        <w:rPr>
          <w:rStyle w:val="Hyperlink"/>
          <w:rFonts w:cs="Arial"/>
          <w:sz w:val="20"/>
          <w:u w:val="none"/>
        </w:rPr>
        <w:t xml:space="preserve"> </w:t>
      </w:r>
      <w:r w:rsidRPr="009E55DC">
        <w:rPr>
          <w:rStyle w:val="Hyperlink"/>
          <w:rFonts w:cs="Arial"/>
          <w:color w:val="000000"/>
          <w:sz w:val="20"/>
          <w:u w:val="none"/>
        </w:rPr>
        <w:t xml:space="preserve">includes no entry for Luxembourg </w:t>
      </w:r>
      <w:hyperlink r:id="rId48" w:history="1">
        <w:r w:rsidRPr="00B92503">
          <w:rPr>
            <w:rStyle w:val="Hyperlink"/>
            <w:rFonts w:cs="Arial"/>
            <w:sz w:val="20"/>
          </w:rPr>
          <w:t>Opening up communities, closing down institutions – report by Community Living for Europe: Structural Funds Watch (2017)</w:t>
        </w:r>
      </w:hyperlink>
      <w:r>
        <w:rPr>
          <w:rStyle w:val="Hyperlink"/>
          <w:rFonts w:cs="Arial"/>
          <w:color w:val="000000"/>
          <w:sz w:val="20"/>
        </w:rPr>
        <w:t>.</w:t>
      </w:r>
      <w:r>
        <w:rPr>
          <w:rFonts w:cs="Arial"/>
        </w:rPr>
        <w:t xml:space="preserve"> </w:t>
      </w:r>
      <w:r w:rsidRPr="009E55DC">
        <w:rPr>
          <w:rStyle w:val="Hyperlink"/>
          <w:rFonts w:cs="Arial"/>
          <w:color w:val="000000"/>
          <w:sz w:val="20"/>
          <w:u w:val="none"/>
        </w:rPr>
        <w:t xml:space="preserve">No entry for Luxembourg. </w:t>
      </w:r>
      <w:hyperlink r:id="rId49" w:history="1">
        <w:r w:rsidRPr="00B92503">
          <w:rPr>
            <w:rStyle w:val="Hyperlink"/>
            <w:rFonts w:cs="Arial"/>
            <w:sz w:val="20"/>
          </w:rPr>
          <w:t xml:space="preserve">EU Agency for Fundamental Rights – from institutions to </w:t>
        </w:r>
        <w:proofErr w:type="gramStart"/>
        <w:r w:rsidRPr="00B92503">
          <w:rPr>
            <w:rStyle w:val="Hyperlink"/>
            <w:rFonts w:cs="Arial"/>
            <w:sz w:val="20"/>
          </w:rPr>
          <w:t>community based</w:t>
        </w:r>
        <w:proofErr w:type="gramEnd"/>
        <w:r w:rsidRPr="00B92503">
          <w:rPr>
            <w:rStyle w:val="Hyperlink"/>
            <w:rFonts w:cs="Arial"/>
            <w:sz w:val="20"/>
          </w:rPr>
          <w:t xml:space="preserve"> living section 1 – commitments and structures</w:t>
        </w:r>
      </w:hyperlink>
      <w:r w:rsidRPr="00D22465">
        <w:rPr>
          <w:rStyle w:val="Hyperlink"/>
          <w:rFonts w:cs="Arial"/>
          <w:color w:val="000000"/>
          <w:sz w:val="20"/>
          <w:u w:val="none"/>
        </w:rPr>
        <w:t xml:space="preserve"> </w:t>
      </w:r>
      <w:r w:rsidRPr="00B92503">
        <w:rPr>
          <w:rFonts w:cs="Arial"/>
          <w:sz w:val="20"/>
        </w:rPr>
        <w:t>based on data of year 2011 statements rather than actual expressions of intent</w:t>
      </w:r>
      <w:r>
        <w:rPr>
          <w:rFonts w:cs="Arial"/>
          <w:sz w:val="20"/>
        </w:rPr>
        <w:t>.</w:t>
      </w:r>
    </w:p>
  </w:footnote>
  <w:footnote w:id="46">
    <w:p w:rsidR="009E55DC" w:rsidRPr="00B92503" w:rsidRDefault="009E55DC" w:rsidP="00B92503">
      <w:pPr>
        <w:pStyle w:val="FootnoteText"/>
        <w:ind w:left="284" w:hanging="284"/>
        <w:jc w:val="left"/>
        <w:rPr>
          <w:rFonts w:cs="Arial"/>
          <w:lang w:val="de-DE"/>
        </w:rPr>
      </w:pPr>
      <w:r w:rsidRPr="00B92503">
        <w:rPr>
          <w:rStyle w:val="FootnoteReference"/>
          <w:rFonts w:cs="Arial"/>
        </w:rPr>
        <w:footnoteRef/>
      </w:r>
      <w:r w:rsidRPr="00B92503">
        <w:rPr>
          <w:rFonts w:cs="Arial"/>
          <w:lang w:val="de-DE"/>
        </w:rPr>
        <w:t xml:space="preserve"> </w:t>
      </w:r>
      <w:r>
        <w:rPr>
          <w:rFonts w:cs="Arial"/>
          <w:lang w:val="de-DE"/>
        </w:rPr>
        <w:tab/>
      </w:r>
      <w:r w:rsidRPr="00B92503">
        <w:rPr>
          <w:rFonts w:cs="Arial"/>
          <w:lang w:val="de-DE"/>
        </w:rPr>
        <w:t xml:space="preserve">Haas, C.; Gaitsch, R.; Limbach-Reich, A. &amp; Peters, U. (2009). </w:t>
      </w:r>
      <w:r w:rsidRPr="00B92503">
        <w:rPr>
          <w:rFonts w:cs="Arial"/>
          <w:i/>
          <w:lang w:val="de-DE"/>
        </w:rPr>
        <w:t>Professionalisierung sozialer Hilfeleistungen in Luxemburg: Entwicklungslinien und Zukunftsperspektiven der Ausbildung Sozialer Arbeit in Luxemburg</w:t>
      </w:r>
      <w:r w:rsidRPr="00B92503">
        <w:rPr>
          <w:rFonts w:cs="Arial"/>
          <w:lang w:val="de-DE"/>
        </w:rPr>
        <w:t xml:space="preserve">. In H. Willems, G. Rotink, D. Ferring, J. Schoos, M. Majerus, N. Ewen, M.A. Rodesch-Hengesch, C. Schmit (Ed.), </w:t>
      </w:r>
      <w:r w:rsidRPr="00B92503">
        <w:rPr>
          <w:rFonts w:cs="Arial"/>
          <w:i/>
          <w:lang w:val="de-DE"/>
        </w:rPr>
        <w:t>Handbuch der sozialen und erzieherischen Arbeit in Luxemburg. Manuel de l'intervention sociale et éducative au Grand-Duché de Luxembourg</w:t>
      </w:r>
      <w:r w:rsidRPr="00B92503">
        <w:rPr>
          <w:rFonts w:cs="Arial"/>
          <w:lang w:val="de-DE"/>
        </w:rPr>
        <w:t xml:space="preserve"> (unter Mitarbeit von C. Reuter, M. Schneider, K. Brandhorst). Luxemburg: Éditions Saint-Paul, 411-423.</w:t>
      </w:r>
    </w:p>
  </w:footnote>
  <w:footnote w:id="47">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de-DE"/>
        </w:rPr>
        <w:t xml:space="preserve"> </w:t>
      </w:r>
      <w:r>
        <w:rPr>
          <w:rFonts w:cs="Arial"/>
          <w:lang w:val="de-DE"/>
        </w:rPr>
        <w:tab/>
      </w:r>
      <w:r w:rsidRPr="00B92503">
        <w:rPr>
          <w:rFonts w:cs="Arial"/>
          <w:lang w:val="de-DE"/>
        </w:rPr>
        <w:t xml:space="preserve">Sagramola, Silvio (2009). </w:t>
      </w:r>
      <w:r w:rsidRPr="00B92503">
        <w:rPr>
          <w:rFonts w:cs="Arial"/>
          <w:i/>
          <w:lang w:val="de-DE"/>
        </w:rPr>
        <w:t>Behindertenpolitik.</w:t>
      </w:r>
      <w:r w:rsidRPr="00B92503">
        <w:rPr>
          <w:rFonts w:cs="Arial"/>
          <w:lang w:val="de-DE"/>
        </w:rPr>
        <w:t xml:space="preserve"> In: H. Willems, G. Rotink, D. Ferring, J. Schoos, M. Majerus, N. Ewen, M.A. Rodesch-Hengesch, C. Schmit (Ed.), </w:t>
      </w:r>
      <w:r w:rsidRPr="00B92503">
        <w:rPr>
          <w:rFonts w:cs="Arial"/>
          <w:i/>
          <w:lang w:val="de-DE"/>
        </w:rPr>
        <w:t>Handbuch der sozialen und erzieher–ischen Arbeit in Luxemburg. Manuel de l'intervention sociale et éducative au Grand-Duché de Luxembourg</w:t>
      </w:r>
      <w:r w:rsidRPr="00B92503">
        <w:rPr>
          <w:rFonts w:cs="Arial"/>
          <w:lang w:val="de-DE"/>
        </w:rPr>
        <w:t xml:space="preserve"> (unter Mitarbeit von C. Reuter, M. Schneider, K. Brandhorst). </w:t>
      </w:r>
      <w:proofErr w:type="gramStart"/>
      <w:r w:rsidRPr="00B92503">
        <w:rPr>
          <w:rFonts w:cs="Arial"/>
          <w:lang w:val="fr-CH"/>
        </w:rPr>
        <w:t>Luxemburg:</w:t>
      </w:r>
      <w:proofErr w:type="gramEnd"/>
      <w:r w:rsidRPr="00B92503">
        <w:rPr>
          <w:rFonts w:cs="Arial"/>
          <w:lang w:val="fr-CH"/>
        </w:rPr>
        <w:t xml:space="preserve"> Éditions Saint-Paul, 341-342.</w:t>
      </w:r>
    </w:p>
  </w:footnote>
  <w:footnote w:id="48">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fr-CH"/>
        </w:rPr>
        <w:t xml:space="preserve"> </w:t>
      </w:r>
      <w:r>
        <w:rPr>
          <w:rFonts w:cs="Arial"/>
          <w:lang w:val="fr-CH"/>
        </w:rPr>
        <w:tab/>
      </w:r>
      <w:r w:rsidRPr="00B92503">
        <w:rPr>
          <w:rFonts w:cs="Arial"/>
          <w:lang w:val="fr-CH"/>
        </w:rPr>
        <w:t xml:space="preserve">Ministère aux Handicapés et aux Accidentés de la Vie (1997). Evaluation de la situation des personnes handicapées au Luxembourg. Plan d’action en faveur des personnes handicapées. </w:t>
      </w:r>
      <w:proofErr w:type="gramStart"/>
      <w:r w:rsidRPr="00B92503">
        <w:rPr>
          <w:rFonts w:cs="Arial"/>
          <w:lang w:val="fr-CH"/>
        </w:rPr>
        <w:t>Luxembourg:</w:t>
      </w:r>
      <w:proofErr w:type="gramEnd"/>
      <w:r w:rsidRPr="00B92503">
        <w:rPr>
          <w:rFonts w:cs="Arial"/>
          <w:lang w:val="fr-CH"/>
        </w:rPr>
        <w:t xml:space="preserve"> MHAV. </w:t>
      </w:r>
      <w:hyperlink r:id="rId50" w:history="1">
        <w:r w:rsidRPr="00232D65">
          <w:rPr>
            <w:rStyle w:val="Hyperlink"/>
            <w:rFonts w:cs="Arial"/>
            <w:lang w:val="fr-CH"/>
          </w:rPr>
          <w:t>http://www.info</w:t>
        </w:r>
        <w:r w:rsidRPr="00232D65">
          <w:rPr>
            <w:rStyle w:val="Hyperlink"/>
            <w:rFonts w:cs="Arial"/>
            <w:lang w:val="fr-CH"/>
          </w:rPr>
          <w:noBreakHyphen/>
          <w:t>handicap.lu/index2.php?option=com_docman&amp;task=doc_view&amp;gid=36&amp;Itemid=26</w:t>
        </w:r>
      </w:hyperlink>
      <w:r>
        <w:rPr>
          <w:rFonts w:cs="Arial"/>
          <w:lang w:val="fr-CH"/>
        </w:rPr>
        <w:t xml:space="preserve">, </w:t>
      </w:r>
      <w:proofErr w:type="spellStart"/>
      <w:r>
        <w:rPr>
          <w:rFonts w:cs="Arial"/>
          <w:lang w:val="fr-CH"/>
        </w:rPr>
        <w:t>web</w:t>
      </w:r>
      <w:r w:rsidRPr="00B92503">
        <w:rPr>
          <w:rFonts w:cs="Arial"/>
          <w:lang w:val="fr-CH"/>
        </w:rPr>
        <w:t>site</w:t>
      </w:r>
      <w:proofErr w:type="spellEnd"/>
      <w:r w:rsidRPr="00B92503">
        <w:rPr>
          <w:rFonts w:cs="Arial"/>
          <w:lang w:val="fr-CH"/>
        </w:rPr>
        <w:t xml:space="preserve"> </w:t>
      </w:r>
      <w:proofErr w:type="spellStart"/>
      <w:r>
        <w:rPr>
          <w:rFonts w:cs="Arial"/>
          <w:lang w:val="fr-CH"/>
        </w:rPr>
        <w:t>is</w:t>
      </w:r>
      <w:proofErr w:type="spellEnd"/>
      <w:r>
        <w:rPr>
          <w:rFonts w:cs="Arial"/>
          <w:lang w:val="fr-CH"/>
        </w:rPr>
        <w:t xml:space="preserve"> </w:t>
      </w:r>
      <w:r w:rsidRPr="00B92503">
        <w:rPr>
          <w:rFonts w:cs="Arial"/>
          <w:lang w:val="fr-CH"/>
        </w:rPr>
        <w:t xml:space="preserve">no longer </w:t>
      </w:r>
      <w:proofErr w:type="spellStart"/>
      <w:proofErr w:type="gramStart"/>
      <w:r w:rsidRPr="00B92503">
        <w:rPr>
          <w:rFonts w:cs="Arial"/>
          <w:lang w:val="fr-CH"/>
        </w:rPr>
        <w:t>available</w:t>
      </w:r>
      <w:proofErr w:type="spellEnd"/>
      <w:r w:rsidRPr="00B92503">
        <w:rPr>
          <w:rFonts w:cs="Arial"/>
          <w:lang w:val="fr-CH"/>
        </w:rPr>
        <w:t>:</w:t>
      </w:r>
      <w:proofErr w:type="gramEnd"/>
      <w:r w:rsidRPr="00B92503">
        <w:rPr>
          <w:rFonts w:cs="Arial"/>
          <w:lang w:val="fr-CH"/>
        </w:rPr>
        <w:t xml:space="preserve"> source Limbach-Reich, A. (2011).</w:t>
      </w:r>
    </w:p>
  </w:footnote>
  <w:footnote w:id="49">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fr-CH"/>
        </w:rPr>
        <w:t xml:space="preserve"> </w:t>
      </w:r>
      <w:r>
        <w:rPr>
          <w:rFonts w:cs="Arial"/>
          <w:lang w:val="fr-CH"/>
        </w:rPr>
        <w:tab/>
      </w:r>
      <w:r w:rsidRPr="007C46AB">
        <w:rPr>
          <w:rFonts w:cs="Arial"/>
          <w:i/>
          <w:lang w:val="fr-CH"/>
        </w:rPr>
        <w:t>Assurance dépendance</w:t>
      </w:r>
      <w:r w:rsidRPr="00B92503">
        <w:rPr>
          <w:rFonts w:cs="Arial"/>
          <w:lang w:val="fr-CH"/>
        </w:rPr>
        <w:t xml:space="preserve"> 1998. </w:t>
      </w:r>
      <w:hyperlink r:id="rId51" w:history="1">
        <w:r w:rsidRPr="00B92503">
          <w:rPr>
            <w:rStyle w:val="Hyperlink"/>
            <w:rFonts w:cs="Arial"/>
            <w:lang w:val="fr-CH"/>
          </w:rPr>
          <w:t>https://www.secu.lu/assurance-dependance/</w:t>
        </w:r>
      </w:hyperlink>
      <w:r w:rsidRPr="00D22465">
        <w:rPr>
          <w:rStyle w:val="Hyperlink"/>
          <w:rFonts w:cs="Arial"/>
          <w:color w:val="000000"/>
          <w:u w:val="none"/>
          <w:lang w:val="fr-FR"/>
        </w:rPr>
        <w:t>.</w:t>
      </w:r>
      <w:r w:rsidRPr="00D22465">
        <w:rPr>
          <w:rFonts w:cs="Arial"/>
          <w:lang w:val="fr-CH"/>
        </w:rPr>
        <w:t xml:space="preserve"> </w:t>
      </w:r>
    </w:p>
  </w:footnote>
  <w:footnote w:id="50">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fr-CH"/>
        </w:rPr>
        <w:t xml:space="preserve"> </w:t>
      </w:r>
      <w:r>
        <w:rPr>
          <w:rFonts w:cs="Arial"/>
          <w:lang w:val="fr-CH"/>
        </w:rPr>
        <w:tab/>
      </w:r>
      <w:r w:rsidRPr="007C46AB">
        <w:rPr>
          <w:rFonts w:cs="Arial"/>
          <w:i/>
          <w:lang w:val="fr-CH"/>
        </w:rPr>
        <w:t>REVIS Loi du 28 juillet 2018 relative au revenu d'inclusion sociale</w:t>
      </w:r>
      <w:r w:rsidRPr="00B92503">
        <w:rPr>
          <w:rFonts w:cs="Arial"/>
          <w:lang w:val="fr-CH"/>
        </w:rPr>
        <w:t xml:space="preserve">. </w:t>
      </w:r>
      <w:hyperlink r:id="rId52" w:history="1">
        <w:r w:rsidRPr="00B92503">
          <w:rPr>
            <w:rStyle w:val="Hyperlink"/>
            <w:rFonts w:cs="Arial"/>
            <w:lang w:val="fr-CH"/>
          </w:rPr>
          <w:t>https://chd.lu/wps/PA_RoleDesAffaires/FTSByteServingServletImpl?path=C494183FC4B3B0B336289854BC485032D127AEE1A536C19A87CFB52B635B24060FACFF3028C5AB038F480B470730E697$C438EB2AB11CDE7D4AE6DF1EA2866DDD</w:t>
        </w:r>
      </w:hyperlink>
      <w:r w:rsidRPr="00D22465">
        <w:rPr>
          <w:rStyle w:val="Hyperlink"/>
          <w:rFonts w:cs="Arial"/>
          <w:color w:val="000000"/>
          <w:u w:val="none"/>
          <w:lang w:val="fr-CH"/>
        </w:rPr>
        <w:t>.</w:t>
      </w:r>
      <w:r w:rsidRPr="00D22465">
        <w:rPr>
          <w:rFonts w:cs="Arial"/>
          <w:lang w:val="fr-CH"/>
        </w:rPr>
        <w:t xml:space="preserve"> </w:t>
      </w:r>
    </w:p>
  </w:footnote>
  <w:footnote w:id="51">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fr-CH"/>
        </w:rPr>
        <w:t xml:space="preserve"> </w:t>
      </w:r>
      <w:r>
        <w:rPr>
          <w:rFonts w:cs="Arial"/>
          <w:lang w:val="fr-CH"/>
        </w:rPr>
        <w:tab/>
      </w:r>
      <w:r w:rsidRPr="007C46AB">
        <w:rPr>
          <w:rFonts w:cs="Arial"/>
          <w:i/>
          <w:lang w:val="fr-CH"/>
        </w:rPr>
        <w:t xml:space="preserve">Loi du 12 septembre 2003 relative aux personnes </w:t>
      </w:r>
      <w:proofErr w:type="spellStart"/>
      <w:r w:rsidRPr="007C46AB">
        <w:rPr>
          <w:rFonts w:cs="Arial"/>
          <w:i/>
          <w:lang w:val="fr-CH"/>
        </w:rPr>
        <w:t>handicapées</w:t>
      </w:r>
      <w:proofErr w:type="spellEnd"/>
      <w:r w:rsidRPr="00B92503">
        <w:rPr>
          <w:rFonts w:cs="Arial"/>
          <w:lang w:val="fr-CH"/>
        </w:rPr>
        <w:t xml:space="preserve"> </w:t>
      </w:r>
      <w:hyperlink r:id="rId53" w:anchor="pageMode=bookmarks" w:history="1">
        <w:r w:rsidRPr="00B92503">
          <w:rPr>
            <w:rStyle w:val="Hyperlink"/>
            <w:rFonts w:cs="Arial"/>
            <w:lang w:val="fr-CH"/>
          </w:rPr>
          <w:t>https://www.fns.lu/fileadmin/file/fns/legislation/RPGH/RPGH_LOI.pdf#pageMode=bookmarks</w:t>
        </w:r>
      </w:hyperlink>
      <w:r w:rsidRPr="00D22465">
        <w:rPr>
          <w:rStyle w:val="Hyperlink"/>
          <w:rFonts w:cs="Arial"/>
          <w:color w:val="000000"/>
          <w:u w:val="none"/>
          <w:lang w:val="fr-FR"/>
        </w:rPr>
        <w:t>.</w:t>
      </w:r>
    </w:p>
  </w:footnote>
  <w:footnote w:id="52">
    <w:p w:rsidR="009E55DC" w:rsidRPr="00B92503" w:rsidRDefault="009E55DC" w:rsidP="00B92503">
      <w:pPr>
        <w:pStyle w:val="FootnoteText"/>
        <w:ind w:left="284" w:hanging="284"/>
        <w:jc w:val="left"/>
        <w:rPr>
          <w:rFonts w:cs="Arial"/>
          <w:lang w:val="de-DE"/>
        </w:rPr>
      </w:pPr>
      <w:r w:rsidRPr="00B92503">
        <w:rPr>
          <w:rStyle w:val="FootnoteReference"/>
          <w:rFonts w:cs="Arial"/>
        </w:rPr>
        <w:footnoteRef/>
      </w:r>
      <w:r w:rsidRPr="00B92503">
        <w:rPr>
          <w:rFonts w:cs="Arial"/>
          <w:lang w:val="de-DE"/>
        </w:rPr>
        <w:t xml:space="preserve"> </w:t>
      </w:r>
      <w:r>
        <w:rPr>
          <w:rFonts w:cs="Arial"/>
          <w:lang w:val="de-DE"/>
        </w:rPr>
        <w:tab/>
      </w:r>
      <w:r w:rsidRPr="00B92503">
        <w:rPr>
          <w:rFonts w:cs="Arial"/>
          <w:lang w:val="de-DE"/>
        </w:rPr>
        <w:t xml:space="preserve">ANED DOTCOM Luxembourg </w:t>
      </w:r>
      <w:hyperlink r:id="rId54" w:history="1">
        <w:r w:rsidRPr="00B07447">
          <w:rPr>
            <w:rStyle w:val="Hyperlink"/>
            <w:rFonts w:cs="Arial"/>
            <w:lang w:val="de-DE"/>
          </w:rPr>
          <w:t>https://www.disability</w:t>
        </w:r>
        <w:r w:rsidRPr="00B07447">
          <w:rPr>
            <w:rStyle w:val="Hyperlink"/>
            <w:rFonts w:cs="Arial"/>
            <w:lang w:val="de-DE"/>
          </w:rPr>
          <w:noBreakHyphen/>
          <w:t>europe.net/dotcom?l%5B%5D=23&amp;t%5B%5D=23&amp;t%5B%5D=24&amp;t%5B%5D=25&amp;t%5B%5D=26&amp;t%5B%5D=27&amp;t%5B%5D=28&amp;t%5B%5D=29&amp;t%5B%5D=30&amp;view_type=matrix</w:t>
        </w:r>
      </w:hyperlink>
      <w:r w:rsidRPr="00D22465">
        <w:rPr>
          <w:rStyle w:val="Hyperlink"/>
          <w:rFonts w:cs="Arial"/>
          <w:color w:val="000000"/>
          <w:u w:val="none"/>
          <w:lang w:val="de-DE"/>
        </w:rPr>
        <w:t>.</w:t>
      </w:r>
      <w:r w:rsidRPr="00B92503">
        <w:rPr>
          <w:rFonts w:cs="Arial"/>
          <w:lang w:val="de-DE"/>
        </w:rPr>
        <w:t xml:space="preserve"> </w:t>
      </w:r>
    </w:p>
  </w:footnote>
  <w:footnote w:id="53">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fr-CH"/>
        </w:rPr>
        <w:t xml:space="preserve"> </w:t>
      </w:r>
      <w:r>
        <w:rPr>
          <w:rFonts w:cs="Arial"/>
          <w:lang w:val="fr-CH"/>
        </w:rPr>
        <w:tab/>
      </w:r>
      <w:r w:rsidRPr="007C46AB">
        <w:rPr>
          <w:rFonts w:cs="Arial"/>
          <w:i/>
          <w:lang w:val="fr-CH"/>
        </w:rPr>
        <w:t>Ministère du Logement</w:t>
      </w:r>
      <w:r w:rsidRPr="00B92503">
        <w:rPr>
          <w:rFonts w:cs="Arial"/>
          <w:lang w:val="fr-CH"/>
        </w:rPr>
        <w:t xml:space="preserve">(2018) </w:t>
      </w:r>
      <w:hyperlink r:id="rId55" w:history="1">
        <w:r w:rsidRPr="00B92503">
          <w:rPr>
            <w:rStyle w:val="Hyperlink"/>
            <w:rFonts w:cs="Arial"/>
            <w:lang w:val="fr-CH"/>
          </w:rPr>
          <w:t>https://logement.public.lu/dam-assets/documents/publications/aides-logement/amenagement-speciaux/amenagements-sp-DE.pdf</w:t>
        </w:r>
      </w:hyperlink>
      <w:r w:rsidRPr="00D22465">
        <w:rPr>
          <w:rStyle w:val="Hyperlink"/>
          <w:rFonts w:cs="Arial"/>
          <w:color w:val="000000"/>
          <w:u w:val="none"/>
          <w:lang w:val="fr-FR"/>
        </w:rPr>
        <w:t>.</w:t>
      </w:r>
      <w:r w:rsidRPr="00B92503">
        <w:rPr>
          <w:rFonts w:cs="Arial"/>
          <w:lang w:val="fr-CH"/>
        </w:rPr>
        <w:t xml:space="preserve"> </w:t>
      </w:r>
    </w:p>
  </w:footnote>
  <w:footnote w:id="54">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fr-CH"/>
        </w:rPr>
        <w:t xml:space="preserve"> </w:t>
      </w:r>
      <w:r>
        <w:rPr>
          <w:rFonts w:cs="Arial"/>
          <w:lang w:val="fr-CH"/>
        </w:rPr>
        <w:tab/>
      </w:r>
      <w:proofErr w:type="spellStart"/>
      <w:r w:rsidRPr="00B92503">
        <w:rPr>
          <w:rFonts w:cs="Arial"/>
          <w:lang w:val="fr-CH"/>
        </w:rPr>
        <w:t>Louazel</w:t>
      </w:r>
      <w:proofErr w:type="spellEnd"/>
      <w:r w:rsidRPr="00B92503">
        <w:rPr>
          <w:rFonts w:cs="Arial"/>
          <w:lang w:val="fr-CH"/>
        </w:rPr>
        <w:t xml:space="preserve">, </w:t>
      </w:r>
      <w:proofErr w:type="spellStart"/>
      <w:r w:rsidRPr="00B92503">
        <w:rPr>
          <w:rFonts w:cs="Arial"/>
          <w:lang w:val="fr-CH"/>
        </w:rPr>
        <w:t>Véronique</w:t>
      </w:r>
      <w:proofErr w:type="spellEnd"/>
      <w:r w:rsidRPr="00B92503">
        <w:rPr>
          <w:rFonts w:cs="Arial"/>
          <w:lang w:val="fr-CH"/>
        </w:rPr>
        <w:t xml:space="preserve"> et Lair, Marie-Lise (2013). </w:t>
      </w:r>
      <w:proofErr w:type="spellStart"/>
      <w:r w:rsidRPr="00B92503">
        <w:rPr>
          <w:rFonts w:cs="Arial"/>
          <w:i/>
          <w:lang w:val="fr-CH"/>
        </w:rPr>
        <w:t>Grand-duche</w:t>
      </w:r>
      <w:proofErr w:type="spellEnd"/>
      <w:r w:rsidRPr="00B92503">
        <w:rPr>
          <w:rFonts w:cs="Arial"/>
          <w:i/>
          <w:lang w:val="fr-CH"/>
        </w:rPr>
        <w:t xml:space="preserve">́ de </w:t>
      </w:r>
      <w:proofErr w:type="gramStart"/>
      <w:r w:rsidRPr="00B92503">
        <w:rPr>
          <w:rFonts w:cs="Arial"/>
          <w:i/>
          <w:lang w:val="fr-CH"/>
        </w:rPr>
        <w:t>Luxembourg:</w:t>
      </w:r>
      <w:proofErr w:type="gramEnd"/>
      <w:r w:rsidRPr="00B92503">
        <w:rPr>
          <w:rFonts w:cs="Arial"/>
          <w:i/>
          <w:lang w:val="fr-CH"/>
        </w:rPr>
        <w:t xml:space="preserve"> </w:t>
      </w:r>
      <w:proofErr w:type="spellStart"/>
      <w:r w:rsidRPr="00B92503">
        <w:rPr>
          <w:rFonts w:cs="Arial"/>
          <w:i/>
          <w:lang w:val="fr-CH"/>
        </w:rPr>
        <w:t>Réforme</w:t>
      </w:r>
      <w:proofErr w:type="spellEnd"/>
      <w:r w:rsidRPr="00B92503">
        <w:rPr>
          <w:rFonts w:cs="Arial"/>
          <w:i/>
          <w:lang w:val="fr-CH"/>
        </w:rPr>
        <w:t xml:space="preserve"> de la psychiatrie et politique de santé mentale: </w:t>
      </w:r>
      <w:r w:rsidRPr="00B92503">
        <w:rPr>
          <w:rFonts w:cs="Arial"/>
          <w:lang w:val="fr-CH"/>
        </w:rPr>
        <w:t xml:space="preserve">les résultats intermédiaires de l’état des lieux 2011-2012 sur l’avancement de la réforme de la psychiatrie au Luxembourg, les filières de prise en charge et le futur de la politique de santé mentale. </w:t>
      </w:r>
      <w:r w:rsidRPr="00B92503">
        <w:rPr>
          <w:rFonts w:cs="Arial"/>
          <w:i/>
          <w:lang w:val="fr-CH"/>
        </w:rPr>
        <w:t>-- (</w:t>
      </w:r>
      <w:proofErr w:type="spellStart"/>
      <w:r w:rsidRPr="00B92503">
        <w:rPr>
          <w:rFonts w:cs="Arial"/>
          <w:i/>
          <w:lang w:val="fr-CH"/>
        </w:rPr>
        <w:t>Study</w:t>
      </w:r>
      <w:proofErr w:type="spellEnd"/>
      <w:r w:rsidRPr="00B92503">
        <w:rPr>
          <w:rFonts w:cs="Arial"/>
          <w:i/>
          <w:lang w:val="fr-CH"/>
        </w:rPr>
        <w:t xml:space="preserve"> on </w:t>
      </w:r>
      <w:proofErr w:type="spellStart"/>
      <w:r w:rsidRPr="00B92503">
        <w:rPr>
          <w:rFonts w:cs="Arial"/>
          <w:i/>
          <w:lang w:val="fr-CH"/>
        </w:rPr>
        <w:t>interim</w:t>
      </w:r>
      <w:proofErr w:type="spellEnd"/>
      <w:r w:rsidRPr="00B92503">
        <w:rPr>
          <w:rFonts w:cs="Arial"/>
          <w:i/>
          <w:lang w:val="fr-CH"/>
        </w:rPr>
        <w:t xml:space="preserve"> </w:t>
      </w:r>
      <w:proofErr w:type="spellStart"/>
      <w:r w:rsidRPr="00B92503">
        <w:rPr>
          <w:rFonts w:cs="Arial"/>
          <w:i/>
          <w:lang w:val="fr-CH"/>
        </w:rPr>
        <w:t>results</w:t>
      </w:r>
      <w:proofErr w:type="spellEnd"/>
      <w:r w:rsidRPr="00B92503">
        <w:rPr>
          <w:rFonts w:cs="Arial"/>
          <w:i/>
          <w:lang w:val="fr-CH"/>
        </w:rPr>
        <w:t xml:space="preserve"> of the 2011-2012 </w:t>
      </w:r>
      <w:proofErr w:type="spellStart"/>
      <w:r w:rsidRPr="00B92503">
        <w:rPr>
          <w:rFonts w:cs="Arial"/>
          <w:i/>
          <w:lang w:val="fr-CH"/>
        </w:rPr>
        <w:t>inventory</w:t>
      </w:r>
      <w:proofErr w:type="spellEnd"/>
      <w:r w:rsidRPr="00B92503">
        <w:rPr>
          <w:rFonts w:cs="Arial"/>
          <w:i/>
          <w:lang w:val="fr-CH"/>
        </w:rPr>
        <w:t xml:space="preserve"> on the </w:t>
      </w:r>
      <w:proofErr w:type="spellStart"/>
      <w:r w:rsidRPr="00B92503">
        <w:rPr>
          <w:rFonts w:cs="Arial"/>
          <w:i/>
          <w:lang w:val="fr-CH"/>
        </w:rPr>
        <w:t>progress</w:t>
      </w:r>
      <w:proofErr w:type="spellEnd"/>
      <w:r w:rsidRPr="00B92503">
        <w:rPr>
          <w:rFonts w:cs="Arial"/>
          <w:i/>
          <w:lang w:val="fr-CH"/>
        </w:rPr>
        <w:t xml:space="preserve"> of the </w:t>
      </w:r>
      <w:proofErr w:type="spellStart"/>
      <w:r w:rsidRPr="00B92503">
        <w:rPr>
          <w:rFonts w:cs="Arial"/>
          <w:i/>
          <w:lang w:val="fr-CH"/>
        </w:rPr>
        <w:t>reform</w:t>
      </w:r>
      <w:proofErr w:type="spellEnd"/>
      <w:r w:rsidRPr="00B92503">
        <w:rPr>
          <w:rFonts w:cs="Arial"/>
          <w:i/>
          <w:lang w:val="fr-CH"/>
        </w:rPr>
        <w:t xml:space="preserve"> of </w:t>
      </w:r>
      <w:proofErr w:type="spellStart"/>
      <w:r w:rsidRPr="00B92503">
        <w:rPr>
          <w:rFonts w:cs="Arial"/>
          <w:i/>
          <w:lang w:val="fr-CH"/>
        </w:rPr>
        <w:t>psychiatry</w:t>
      </w:r>
      <w:proofErr w:type="spellEnd"/>
      <w:r w:rsidRPr="00B92503">
        <w:rPr>
          <w:rFonts w:cs="Arial"/>
          <w:i/>
          <w:lang w:val="fr-CH"/>
        </w:rPr>
        <w:t xml:space="preserve"> in Luxembourg, the care </w:t>
      </w:r>
      <w:proofErr w:type="spellStart"/>
      <w:r w:rsidRPr="00B92503">
        <w:rPr>
          <w:rFonts w:cs="Arial"/>
          <w:i/>
          <w:lang w:val="fr-CH"/>
        </w:rPr>
        <w:t>sectors</w:t>
      </w:r>
      <w:proofErr w:type="spellEnd"/>
      <w:r w:rsidRPr="00B92503">
        <w:rPr>
          <w:rFonts w:cs="Arial"/>
          <w:i/>
          <w:lang w:val="fr-CH"/>
        </w:rPr>
        <w:t xml:space="preserve"> and the future of mental </w:t>
      </w:r>
      <w:proofErr w:type="spellStart"/>
      <w:r w:rsidRPr="00B92503">
        <w:rPr>
          <w:rFonts w:cs="Arial"/>
          <w:i/>
          <w:lang w:val="fr-CH"/>
        </w:rPr>
        <w:t>health</w:t>
      </w:r>
      <w:proofErr w:type="spellEnd"/>
      <w:r w:rsidRPr="00B92503">
        <w:rPr>
          <w:rFonts w:cs="Arial"/>
          <w:i/>
          <w:lang w:val="fr-CH"/>
        </w:rPr>
        <w:t xml:space="preserve"> </w:t>
      </w:r>
      <w:proofErr w:type="spellStart"/>
      <w:r w:rsidRPr="00B92503">
        <w:rPr>
          <w:rFonts w:cs="Arial"/>
          <w:i/>
          <w:lang w:val="fr-CH"/>
        </w:rPr>
        <w:t>policy</w:t>
      </w:r>
      <w:proofErr w:type="spellEnd"/>
      <w:r w:rsidRPr="00B92503">
        <w:rPr>
          <w:rFonts w:cs="Arial"/>
          <w:i/>
          <w:lang w:val="fr-CH"/>
        </w:rPr>
        <w:t xml:space="preserve">). </w:t>
      </w:r>
      <w:hyperlink r:id="rId56" w:history="1">
        <w:r w:rsidRPr="00553120">
          <w:rPr>
            <w:rStyle w:val="Hyperlink"/>
            <w:rFonts w:cs="Arial"/>
            <w:lang w:val="fr-CH"/>
          </w:rPr>
          <w:t>http://www.copas.lu/wp-content/uploads/reforme-psychiatrie-politique-sante-mentale-2013.pdf</w:t>
        </w:r>
      </w:hyperlink>
      <w:r w:rsidRPr="00D22465">
        <w:rPr>
          <w:rStyle w:val="Hyperlink"/>
          <w:rFonts w:cs="Arial"/>
          <w:color w:val="000000"/>
          <w:u w:val="none"/>
          <w:lang w:val="fr-CH"/>
        </w:rPr>
        <w:t>.</w:t>
      </w:r>
      <w:r w:rsidRPr="00B92503">
        <w:rPr>
          <w:rFonts w:cs="Arial"/>
          <w:i/>
          <w:lang w:val="fr-CH"/>
        </w:rPr>
        <w:t xml:space="preserve"> </w:t>
      </w:r>
    </w:p>
  </w:footnote>
  <w:footnote w:id="55">
    <w:p w:rsidR="009E55DC" w:rsidRPr="00553120" w:rsidRDefault="009E55DC" w:rsidP="00B92503">
      <w:pPr>
        <w:ind w:left="284" w:hanging="284"/>
        <w:jc w:val="left"/>
        <w:rPr>
          <w:rFonts w:cs="Arial"/>
          <w:sz w:val="20"/>
          <w:lang w:val="fr-FR"/>
        </w:rPr>
      </w:pPr>
      <w:r w:rsidRPr="00B92503">
        <w:rPr>
          <w:rStyle w:val="FootnoteReference"/>
          <w:rFonts w:cs="Arial"/>
        </w:rPr>
        <w:footnoteRef/>
      </w:r>
      <w:r w:rsidRPr="00B92503">
        <w:rPr>
          <w:rFonts w:cs="Arial"/>
          <w:sz w:val="20"/>
        </w:rPr>
        <w:t xml:space="preserve"> </w:t>
      </w:r>
      <w:r>
        <w:rPr>
          <w:rFonts w:cs="Arial"/>
          <w:sz w:val="20"/>
        </w:rPr>
        <w:tab/>
      </w:r>
      <w:r w:rsidRPr="00B92503">
        <w:rPr>
          <w:rFonts w:cs="Arial"/>
          <w:sz w:val="20"/>
        </w:rPr>
        <w:t xml:space="preserve">Ministry of Family, Integration and the Grand Region 2018 Working group on the development of the new National Action Plan for the implementation of the UN Convention on the Rights of Persons with Disabilities. </w:t>
      </w:r>
      <w:r w:rsidRPr="00B92503">
        <w:rPr>
          <w:rFonts w:cs="Arial"/>
          <w:sz w:val="20"/>
          <w:lang w:val="fr-FR"/>
        </w:rPr>
        <w:t>(</w:t>
      </w:r>
      <w:r w:rsidRPr="00B92503">
        <w:rPr>
          <w:rFonts w:cs="Arial"/>
          <w:i/>
          <w:sz w:val="20"/>
          <w:lang w:val="fr-FR"/>
        </w:rPr>
        <w:t>Ministère de la Famille, de l’Intégration et à la Grande-Région 2018 sur l’élaboration du nouveau Plan d’action national de mise en œuvre de la convention de l’ONU relative aux droits des personnes handicapées</w:t>
      </w:r>
      <w:r w:rsidRPr="00B92503">
        <w:rPr>
          <w:rFonts w:cs="Arial"/>
          <w:sz w:val="20"/>
          <w:lang w:val="fr-FR"/>
        </w:rPr>
        <w:t>).</w:t>
      </w:r>
      <w:r w:rsidRPr="00B92503">
        <w:rPr>
          <w:rFonts w:cs="Arial"/>
          <w:color w:val="0000FF"/>
          <w:w w:val="95"/>
          <w:sz w:val="20"/>
          <w:lang w:val="fr-FR"/>
        </w:rPr>
        <w:t xml:space="preserve"> </w:t>
      </w:r>
      <w:r w:rsidRPr="00D22465">
        <w:rPr>
          <w:rStyle w:val="Hyperlink"/>
          <w:rFonts w:cs="Arial"/>
          <w:sz w:val="20"/>
          <w:lang w:val="fr-CH"/>
        </w:rPr>
        <w:t>https://mfamigr.gouvernement.lu/fr/actualites.gouvernement%2Bfr%2Bactualites%2Btoutes_actualites%2Bcommuniques%2B20 18%2B07-juillet%2B03-reunion-personnes-handicapees</w:t>
      </w:r>
      <w:r w:rsidRPr="00D22465">
        <w:rPr>
          <w:rStyle w:val="Hyperlink"/>
          <w:rFonts w:cs="Arial"/>
          <w:color w:val="000000"/>
          <w:sz w:val="20"/>
          <w:u w:val="none"/>
          <w:lang w:val="fr-FR"/>
        </w:rPr>
        <w:t>.</w:t>
      </w:r>
    </w:p>
  </w:footnote>
  <w:footnote w:id="56">
    <w:p w:rsidR="009E55DC" w:rsidRPr="00553120" w:rsidRDefault="009E55DC" w:rsidP="00B92503">
      <w:pPr>
        <w:pStyle w:val="FootnoteText"/>
        <w:ind w:left="284" w:hanging="284"/>
        <w:jc w:val="left"/>
        <w:rPr>
          <w:rFonts w:cs="Arial"/>
          <w:lang w:val="fr-FR"/>
        </w:rPr>
      </w:pPr>
      <w:r w:rsidRPr="00B92503">
        <w:rPr>
          <w:rStyle w:val="FootnoteReference"/>
          <w:rFonts w:cs="Arial"/>
        </w:rPr>
        <w:footnoteRef/>
      </w:r>
      <w:r w:rsidRPr="00B92503">
        <w:rPr>
          <w:rFonts w:cs="Arial"/>
          <w:lang w:val="fr-CH"/>
        </w:rPr>
        <w:t xml:space="preserve"> </w:t>
      </w:r>
      <w:r>
        <w:rPr>
          <w:rFonts w:cs="Arial"/>
          <w:lang w:val="fr-CH"/>
        </w:rPr>
        <w:tab/>
      </w:r>
      <w:r w:rsidRPr="00B92503">
        <w:rPr>
          <w:rFonts w:cs="Arial"/>
          <w:lang w:val="fr-CH"/>
        </w:rPr>
        <w:t xml:space="preserve">Home page </w:t>
      </w:r>
      <w:proofErr w:type="spellStart"/>
      <w:r w:rsidRPr="00B92503">
        <w:rPr>
          <w:rFonts w:cs="Arial"/>
          <w:lang w:val="fr-CH"/>
        </w:rPr>
        <w:t>Nemme</w:t>
      </w:r>
      <w:proofErr w:type="spellEnd"/>
      <w:r w:rsidRPr="00B92503">
        <w:rPr>
          <w:rFonts w:cs="Arial"/>
          <w:lang w:val="fr-CH"/>
        </w:rPr>
        <w:t xml:space="preserve"> mat </w:t>
      </w:r>
      <w:proofErr w:type="spellStart"/>
      <w:r w:rsidRPr="00B92503">
        <w:rPr>
          <w:rFonts w:cs="Arial"/>
          <w:lang w:val="fr-CH"/>
        </w:rPr>
        <w:t>eis</w:t>
      </w:r>
      <w:proofErr w:type="spellEnd"/>
      <w:r w:rsidRPr="00B92503">
        <w:rPr>
          <w:rFonts w:cs="Arial"/>
          <w:lang w:val="fr-CH"/>
        </w:rPr>
        <w:t xml:space="preserve"> </w:t>
      </w:r>
      <w:hyperlink r:id="rId57" w:history="1">
        <w:r w:rsidRPr="00B92503">
          <w:rPr>
            <w:rStyle w:val="Hyperlink"/>
            <w:rFonts w:cs="Arial"/>
            <w:lang w:val="fr-CH"/>
          </w:rPr>
          <w:t>http://www.nemmemateis.lu/online/www/content/32/542/DEU/index.html</w:t>
        </w:r>
      </w:hyperlink>
      <w:r w:rsidRPr="00D22465">
        <w:rPr>
          <w:rStyle w:val="Hyperlink"/>
          <w:rFonts w:cs="Arial"/>
          <w:color w:val="000000"/>
          <w:u w:val="none"/>
          <w:lang w:val="fr-FR"/>
        </w:rPr>
        <w:t>.</w:t>
      </w:r>
    </w:p>
  </w:footnote>
  <w:footnote w:id="57">
    <w:p w:rsidR="009E55DC" w:rsidRPr="00553120" w:rsidRDefault="009E55DC" w:rsidP="00B92503">
      <w:pPr>
        <w:pStyle w:val="FootnoteText"/>
        <w:ind w:left="284" w:hanging="284"/>
        <w:jc w:val="left"/>
        <w:rPr>
          <w:rFonts w:cs="Arial"/>
          <w:lang w:val="fr-FR"/>
        </w:rPr>
      </w:pPr>
      <w:r w:rsidRPr="00B92503">
        <w:rPr>
          <w:rStyle w:val="FootnoteReference"/>
          <w:rFonts w:cs="Arial"/>
        </w:rPr>
        <w:footnoteRef/>
      </w:r>
      <w:r w:rsidRPr="00B92503">
        <w:rPr>
          <w:rFonts w:cs="Arial"/>
          <w:lang w:val="fr-CH"/>
        </w:rPr>
        <w:t xml:space="preserve"> </w:t>
      </w:r>
      <w:r>
        <w:rPr>
          <w:rFonts w:cs="Arial"/>
          <w:lang w:val="fr-CH"/>
        </w:rPr>
        <w:tab/>
      </w:r>
      <w:r w:rsidRPr="00B92503">
        <w:rPr>
          <w:rFonts w:cs="Arial"/>
          <w:lang w:val="fr-CH"/>
        </w:rPr>
        <w:t xml:space="preserve">Initial country report </w:t>
      </w:r>
      <w:proofErr w:type="spellStart"/>
      <w:r w:rsidRPr="00B92503">
        <w:rPr>
          <w:rFonts w:cs="Arial"/>
          <w:lang w:val="fr-CH"/>
        </w:rPr>
        <w:t>implementing</w:t>
      </w:r>
      <w:proofErr w:type="spellEnd"/>
      <w:r w:rsidRPr="00B92503">
        <w:rPr>
          <w:rFonts w:cs="Arial"/>
          <w:lang w:val="fr-CH"/>
        </w:rPr>
        <w:t xml:space="preserve"> the CRPD (Mise en œuvre de la Convention des Nations Unies relative aux droits des personnes </w:t>
      </w:r>
      <w:proofErr w:type="spellStart"/>
      <w:r w:rsidRPr="00B92503">
        <w:rPr>
          <w:rFonts w:cs="Arial"/>
          <w:lang w:val="fr-CH"/>
        </w:rPr>
        <w:t>handicapées</w:t>
      </w:r>
      <w:proofErr w:type="spellEnd"/>
      <w:r w:rsidRPr="00B92503">
        <w:rPr>
          <w:rFonts w:cs="Arial"/>
          <w:lang w:val="fr-CH"/>
        </w:rPr>
        <w:t xml:space="preserve"> - Premier rapport </w:t>
      </w:r>
      <w:proofErr w:type="spellStart"/>
      <w:r w:rsidRPr="00B92503">
        <w:rPr>
          <w:rFonts w:cs="Arial"/>
          <w:lang w:val="fr-CH"/>
        </w:rPr>
        <w:t>périodique</w:t>
      </w:r>
      <w:proofErr w:type="spellEnd"/>
      <w:r w:rsidRPr="00B92503">
        <w:rPr>
          <w:rFonts w:cs="Arial"/>
          <w:lang w:val="fr-CH"/>
        </w:rPr>
        <w:t xml:space="preserve"> du </w:t>
      </w:r>
      <w:proofErr w:type="spellStart"/>
      <w:r w:rsidRPr="00B92503">
        <w:rPr>
          <w:rFonts w:cs="Arial"/>
          <w:lang w:val="fr-CH"/>
        </w:rPr>
        <w:t>Grand-Duche</w:t>
      </w:r>
      <w:proofErr w:type="spellEnd"/>
      <w:r w:rsidRPr="00B92503">
        <w:rPr>
          <w:rFonts w:cs="Arial"/>
          <w:lang w:val="fr-CH"/>
        </w:rPr>
        <w:t>́ de Luxembourg (2014)</w:t>
      </w:r>
      <w:r>
        <w:rPr>
          <w:rFonts w:cs="Arial"/>
          <w:lang w:val="fr-CH"/>
        </w:rPr>
        <w:t xml:space="preserve"> </w:t>
      </w:r>
      <w:hyperlink r:id="rId58" w:history="1">
        <w:r w:rsidRPr="00232D65">
          <w:rPr>
            <w:rStyle w:val="Hyperlink"/>
            <w:rFonts w:cs="Arial"/>
            <w:lang w:val="fr-CH"/>
          </w:rPr>
          <w:t>https://mfamigr.gouvernement.lu/content/dam/gouv_mfamigr/le</w:t>
        </w:r>
        <w:r w:rsidRPr="00232D65">
          <w:rPr>
            <w:rStyle w:val="Hyperlink"/>
            <w:rFonts w:cs="Arial"/>
            <w:lang w:val="fr-CH"/>
          </w:rPr>
          <w:noBreakHyphen/>
          <w:t>ministère/attributions/personnes-handicapées/premier-rapport-periodique-de-mise-en-œuvre-de-la-convention-onu.pdf</w:t>
        </w:r>
      </w:hyperlink>
      <w:r w:rsidRPr="00D22465">
        <w:rPr>
          <w:rStyle w:val="Hyperlink"/>
          <w:rFonts w:cs="Arial"/>
          <w:color w:val="000000"/>
          <w:u w:val="none"/>
          <w:lang w:val="fr-FR"/>
        </w:rPr>
        <w:t>.</w:t>
      </w:r>
    </w:p>
  </w:footnote>
  <w:footnote w:id="58">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lang w:val="fr-CH"/>
        </w:rPr>
        <w:t xml:space="preserve"> </w:t>
      </w:r>
      <w:r>
        <w:rPr>
          <w:rFonts w:cs="Arial"/>
          <w:lang w:val="fr-CH"/>
        </w:rPr>
        <w:tab/>
      </w:r>
      <w:proofErr w:type="spellStart"/>
      <w:r w:rsidRPr="00B92503">
        <w:rPr>
          <w:rFonts w:cs="Arial"/>
          <w:lang w:val="fr-CH"/>
        </w:rPr>
        <w:t>Louazel</w:t>
      </w:r>
      <w:proofErr w:type="spellEnd"/>
      <w:r w:rsidRPr="00B92503">
        <w:rPr>
          <w:rFonts w:cs="Arial"/>
          <w:lang w:val="fr-CH"/>
        </w:rPr>
        <w:t xml:space="preserve">, </w:t>
      </w:r>
      <w:proofErr w:type="spellStart"/>
      <w:r w:rsidRPr="00B92503">
        <w:rPr>
          <w:rFonts w:cs="Arial"/>
          <w:lang w:val="fr-CH"/>
        </w:rPr>
        <w:t>Véronique</w:t>
      </w:r>
      <w:proofErr w:type="spellEnd"/>
      <w:r w:rsidRPr="00B92503">
        <w:rPr>
          <w:rFonts w:cs="Arial"/>
          <w:lang w:val="fr-CH"/>
        </w:rPr>
        <w:t xml:space="preserve"> et Lair, Marie-Lise (2013). </w:t>
      </w:r>
      <w:proofErr w:type="spellStart"/>
      <w:r w:rsidRPr="00B92503">
        <w:rPr>
          <w:rFonts w:cs="Arial"/>
          <w:lang w:val="fr-CH"/>
        </w:rPr>
        <w:t>Grand-duche</w:t>
      </w:r>
      <w:proofErr w:type="spellEnd"/>
      <w:r w:rsidRPr="00B92503">
        <w:rPr>
          <w:rFonts w:cs="Arial"/>
          <w:lang w:val="fr-CH"/>
        </w:rPr>
        <w:t xml:space="preserve">́ de </w:t>
      </w:r>
      <w:proofErr w:type="gramStart"/>
      <w:r w:rsidRPr="00B92503">
        <w:rPr>
          <w:rFonts w:cs="Arial"/>
          <w:lang w:val="fr-CH"/>
        </w:rPr>
        <w:t>Luxembourg:</w:t>
      </w:r>
      <w:proofErr w:type="gramEnd"/>
      <w:r w:rsidRPr="00B92503">
        <w:rPr>
          <w:rFonts w:cs="Arial"/>
          <w:lang w:val="fr-CH"/>
        </w:rPr>
        <w:t xml:space="preserve"> </w:t>
      </w:r>
      <w:proofErr w:type="spellStart"/>
      <w:r w:rsidRPr="00B92503">
        <w:rPr>
          <w:rFonts w:cs="Arial"/>
          <w:lang w:val="fr-CH"/>
        </w:rPr>
        <w:t>Réforme</w:t>
      </w:r>
      <w:proofErr w:type="spellEnd"/>
      <w:r w:rsidRPr="00B92503">
        <w:rPr>
          <w:rFonts w:cs="Arial"/>
          <w:lang w:val="fr-CH"/>
        </w:rPr>
        <w:t xml:space="preserve"> de la psychiatrie et politique de santé mentale: les résultats intermédiaires de l’état des lieux 2011-2012 sur l’avancement de la réforme de la psychiatrie au Luxembourg, les filières de prise en charge et le futur de la politique de santé mentale. -- (</w:t>
      </w:r>
      <w:proofErr w:type="spellStart"/>
      <w:r w:rsidRPr="00B92503">
        <w:rPr>
          <w:rFonts w:cs="Arial"/>
          <w:lang w:val="fr-CH"/>
        </w:rPr>
        <w:t>Study</w:t>
      </w:r>
      <w:proofErr w:type="spellEnd"/>
      <w:r w:rsidRPr="00B92503">
        <w:rPr>
          <w:rFonts w:cs="Arial"/>
          <w:lang w:val="fr-CH"/>
        </w:rPr>
        <w:t xml:space="preserve"> on </w:t>
      </w:r>
      <w:proofErr w:type="spellStart"/>
      <w:r w:rsidRPr="00B92503">
        <w:rPr>
          <w:rFonts w:cs="Arial"/>
          <w:lang w:val="fr-CH"/>
        </w:rPr>
        <w:t>interim</w:t>
      </w:r>
      <w:proofErr w:type="spellEnd"/>
      <w:r w:rsidRPr="00B92503">
        <w:rPr>
          <w:rFonts w:cs="Arial"/>
          <w:lang w:val="fr-CH"/>
        </w:rPr>
        <w:t xml:space="preserve"> </w:t>
      </w:r>
      <w:proofErr w:type="spellStart"/>
      <w:r w:rsidRPr="00B92503">
        <w:rPr>
          <w:rFonts w:cs="Arial"/>
          <w:lang w:val="fr-CH"/>
        </w:rPr>
        <w:t>results</w:t>
      </w:r>
      <w:proofErr w:type="spellEnd"/>
      <w:r w:rsidRPr="00B92503">
        <w:rPr>
          <w:rFonts w:cs="Arial"/>
          <w:lang w:val="fr-CH"/>
        </w:rPr>
        <w:t xml:space="preserve"> of the 2011-2012 </w:t>
      </w:r>
      <w:proofErr w:type="spellStart"/>
      <w:r w:rsidRPr="00B92503">
        <w:rPr>
          <w:rFonts w:cs="Arial"/>
          <w:lang w:val="fr-CH"/>
        </w:rPr>
        <w:t>inventory</w:t>
      </w:r>
      <w:proofErr w:type="spellEnd"/>
      <w:r w:rsidRPr="00B92503">
        <w:rPr>
          <w:rFonts w:cs="Arial"/>
          <w:lang w:val="fr-CH"/>
        </w:rPr>
        <w:t xml:space="preserve"> on the </w:t>
      </w:r>
      <w:proofErr w:type="spellStart"/>
      <w:r w:rsidRPr="00B92503">
        <w:rPr>
          <w:rFonts w:cs="Arial"/>
          <w:lang w:val="fr-CH"/>
        </w:rPr>
        <w:t>progress</w:t>
      </w:r>
      <w:proofErr w:type="spellEnd"/>
      <w:r w:rsidRPr="00B92503">
        <w:rPr>
          <w:rFonts w:cs="Arial"/>
          <w:lang w:val="fr-CH"/>
        </w:rPr>
        <w:t xml:space="preserve"> of the </w:t>
      </w:r>
      <w:proofErr w:type="spellStart"/>
      <w:r w:rsidRPr="00B92503">
        <w:rPr>
          <w:rFonts w:cs="Arial"/>
          <w:lang w:val="fr-CH"/>
        </w:rPr>
        <w:t>reform</w:t>
      </w:r>
      <w:proofErr w:type="spellEnd"/>
      <w:r w:rsidRPr="00B92503">
        <w:rPr>
          <w:rFonts w:cs="Arial"/>
          <w:lang w:val="fr-CH"/>
        </w:rPr>
        <w:t xml:space="preserve"> of </w:t>
      </w:r>
      <w:proofErr w:type="spellStart"/>
      <w:r w:rsidRPr="00B92503">
        <w:rPr>
          <w:rFonts w:cs="Arial"/>
          <w:lang w:val="fr-CH"/>
        </w:rPr>
        <w:t>psychiatry</w:t>
      </w:r>
      <w:proofErr w:type="spellEnd"/>
      <w:r w:rsidRPr="00B92503">
        <w:rPr>
          <w:rFonts w:cs="Arial"/>
          <w:lang w:val="fr-CH"/>
        </w:rPr>
        <w:t xml:space="preserve"> in Luxembourg, the care </w:t>
      </w:r>
      <w:proofErr w:type="spellStart"/>
      <w:r w:rsidRPr="00B92503">
        <w:rPr>
          <w:rFonts w:cs="Arial"/>
          <w:lang w:val="fr-CH"/>
        </w:rPr>
        <w:t>sectors</w:t>
      </w:r>
      <w:proofErr w:type="spellEnd"/>
      <w:r w:rsidRPr="00B92503">
        <w:rPr>
          <w:rFonts w:cs="Arial"/>
          <w:lang w:val="fr-CH"/>
        </w:rPr>
        <w:t xml:space="preserve"> and the future of mental </w:t>
      </w:r>
      <w:proofErr w:type="spellStart"/>
      <w:r w:rsidRPr="00B92503">
        <w:rPr>
          <w:rFonts w:cs="Arial"/>
          <w:lang w:val="fr-CH"/>
        </w:rPr>
        <w:t>health</w:t>
      </w:r>
      <w:proofErr w:type="spellEnd"/>
      <w:r w:rsidRPr="00B92503">
        <w:rPr>
          <w:rFonts w:cs="Arial"/>
          <w:lang w:val="fr-CH"/>
        </w:rPr>
        <w:t xml:space="preserve"> </w:t>
      </w:r>
      <w:proofErr w:type="spellStart"/>
      <w:r w:rsidRPr="00B92503">
        <w:rPr>
          <w:rFonts w:cs="Arial"/>
          <w:lang w:val="fr-CH"/>
        </w:rPr>
        <w:t>policy</w:t>
      </w:r>
      <w:proofErr w:type="spellEnd"/>
      <w:r w:rsidRPr="00B92503">
        <w:rPr>
          <w:rFonts w:cs="Arial"/>
          <w:lang w:val="fr-CH"/>
        </w:rPr>
        <w:t xml:space="preserve">). </w:t>
      </w:r>
      <w:hyperlink r:id="rId59" w:history="1">
        <w:r w:rsidRPr="00B92503">
          <w:rPr>
            <w:rStyle w:val="Hyperlink"/>
            <w:rFonts w:cs="Arial"/>
          </w:rPr>
          <w:t>http://www.copas.lu/wp-content/uploads/reforme-psychiatrie-politique-sante-mentale-2013.pdf</w:t>
        </w:r>
      </w:hyperlink>
      <w:r w:rsidRPr="00D22465">
        <w:rPr>
          <w:rStyle w:val="Hyperlink"/>
          <w:rFonts w:cs="Arial"/>
          <w:color w:val="000000"/>
          <w:u w:val="none"/>
        </w:rPr>
        <w:t>.</w:t>
      </w:r>
      <w:r w:rsidRPr="00B92503">
        <w:rPr>
          <w:rFonts w:cs="Arial"/>
        </w:rPr>
        <w:t xml:space="preserve"> </w:t>
      </w:r>
    </w:p>
  </w:footnote>
  <w:footnote w:id="59">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lang w:val="en-US"/>
        </w:rPr>
        <w:t xml:space="preserve"> </w:t>
      </w:r>
      <w:r>
        <w:rPr>
          <w:rFonts w:cs="Arial"/>
          <w:lang w:val="en-US"/>
        </w:rPr>
        <w:tab/>
      </w:r>
      <w:r w:rsidRPr="00B92503">
        <w:rPr>
          <w:rFonts w:cs="Arial"/>
          <w:lang w:val="en-US"/>
        </w:rPr>
        <w:t xml:space="preserve">FRA (2017 and 2018) From institutions to community living - Part I: commitments and structures  </w:t>
      </w:r>
      <w:hyperlink r:id="rId60" w:history="1">
        <w:r w:rsidRPr="00B92503">
          <w:rPr>
            <w:rStyle w:val="Hyperlink"/>
            <w:rFonts w:cs="Arial"/>
            <w:lang w:val="en-US"/>
          </w:rPr>
          <w:t>https://fra.europa.eu/en/publication/2017/independent-living-structures</w:t>
        </w:r>
      </w:hyperlink>
      <w:r w:rsidRPr="00D22465">
        <w:rPr>
          <w:rStyle w:val="Hyperlink"/>
          <w:rFonts w:cs="Arial"/>
          <w:color w:val="000000"/>
          <w:u w:val="none"/>
        </w:rPr>
        <w:t>.</w:t>
      </w:r>
      <w:r w:rsidRPr="00B92503">
        <w:rPr>
          <w:rFonts w:cs="Arial"/>
          <w:lang w:val="en-US"/>
        </w:rPr>
        <w:t xml:space="preserve"> And From institutions to community living - Part II: funding and budgeting </w:t>
      </w:r>
      <w:hyperlink r:id="rId61" w:history="1">
        <w:r w:rsidRPr="00B92503">
          <w:rPr>
            <w:rStyle w:val="Hyperlink"/>
            <w:rFonts w:cs="Arial"/>
            <w:lang w:val="en-US"/>
          </w:rPr>
          <w:t>https://fra.europa.eu/en/publication/2017/independent-living-funding</w:t>
        </w:r>
      </w:hyperlink>
      <w:r w:rsidRPr="00D22465">
        <w:rPr>
          <w:rStyle w:val="Hyperlink"/>
          <w:rFonts w:cs="Arial"/>
          <w:color w:val="000000"/>
          <w:u w:val="none"/>
        </w:rPr>
        <w:t>.</w:t>
      </w:r>
    </w:p>
  </w:footnote>
  <w:footnote w:id="60">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rPr>
        <w:t xml:space="preserve"> </w:t>
      </w:r>
      <w:r>
        <w:rPr>
          <w:rFonts w:cs="Arial"/>
        </w:rPr>
        <w:tab/>
      </w:r>
      <w:r w:rsidRPr="00B92503">
        <w:rPr>
          <w:rFonts w:cs="Arial"/>
          <w:lang w:val="en-US"/>
        </w:rPr>
        <w:t xml:space="preserve">Coalition accord 2018 </w:t>
      </w:r>
      <w:hyperlink r:id="rId62" w:history="1">
        <w:r w:rsidRPr="00B92503">
          <w:rPr>
            <w:rStyle w:val="Hyperlink"/>
            <w:rFonts w:cs="Arial"/>
            <w:lang w:val="en-US"/>
          </w:rPr>
          <w:t>https://gouvernement.lu/de/publications/accord-coalition/2018-2023.html</w:t>
        </w:r>
      </w:hyperlink>
      <w:r w:rsidRPr="00D22465">
        <w:rPr>
          <w:rStyle w:val="Hyperlink"/>
          <w:rFonts w:cs="Arial"/>
          <w:color w:val="000000"/>
          <w:u w:val="none"/>
        </w:rPr>
        <w:t>.</w:t>
      </w:r>
    </w:p>
  </w:footnote>
  <w:footnote w:id="61">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rPr>
        <w:t xml:space="preserve"> </w:t>
      </w:r>
      <w:r>
        <w:rPr>
          <w:rFonts w:cs="Arial"/>
        </w:rPr>
        <w:tab/>
      </w:r>
      <w:r w:rsidRPr="00B92503">
        <w:rPr>
          <w:rFonts w:cs="Arial"/>
        </w:rPr>
        <w:t xml:space="preserve">Ministry of Family Affairs Integration and the </w:t>
      </w:r>
      <w:proofErr w:type="spellStart"/>
      <w:r w:rsidRPr="00B92503">
        <w:rPr>
          <w:rFonts w:cs="Arial"/>
        </w:rPr>
        <w:t>Greater.Region</w:t>
      </w:r>
      <w:proofErr w:type="spellEnd"/>
      <w:r w:rsidRPr="00B92503">
        <w:rPr>
          <w:rFonts w:cs="Arial"/>
        </w:rPr>
        <w:t xml:space="preserve"> (2012) </w:t>
      </w:r>
      <w:r w:rsidRPr="00B92503">
        <w:rPr>
          <w:rFonts w:cs="Arial"/>
          <w:i/>
        </w:rPr>
        <w:t xml:space="preserve">First action plan to implement the CRPD in Luxembourg </w:t>
      </w:r>
      <w:r w:rsidRPr="00B92503">
        <w:rPr>
          <w:rFonts w:cs="Arial"/>
        </w:rPr>
        <w:t>(</w:t>
      </w:r>
      <w:proofErr w:type="spellStart"/>
      <w:r w:rsidRPr="00B92503">
        <w:rPr>
          <w:rFonts w:cs="Arial"/>
        </w:rPr>
        <w:t>Aktionsplan</w:t>
      </w:r>
      <w:proofErr w:type="spellEnd"/>
      <w:r w:rsidRPr="00B92503">
        <w:rPr>
          <w:rFonts w:cs="Arial"/>
        </w:rPr>
        <w:t xml:space="preserve"> der </w:t>
      </w:r>
      <w:proofErr w:type="spellStart"/>
      <w:r w:rsidRPr="00B92503">
        <w:rPr>
          <w:rFonts w:cs="Arial"/>
        </w:rPr>
        <w:t>Luxemburger</w:t>
      </w:r>
      <w:proofErr w:type="spellEnd"/>
      <w:r w:rsidRPr="00B92503">
        <w:rPr>
          <w:rFonts w:cs="Arial"/>
        </w:rPr>
        <w:t xml:space="preserve"> </w:t>
      </w:r>
      <w:proofErr w:type="spellStart"/>
      <w:r w:rsidRPr="00B92503">
        <w:rPr>
          <w:rFonts w:cs="Arial"/>
        </w:rPr>
        <w:t>Regierung</w:t>
      </w:r>
      <w:proofErr w:type="spellEnd"/>
      <w:r w:rsidRPr="00B92503">
        <w:rPr>
          <w:rFonts w:cs="Arial"/>
        </w:rPr>
        <w:t xml:space="preserve"> </w:t>
      </w:r>
      <w:proofErr w:type="spellStart"/>
      <w:r w:rsidRPr="00B92503">
        <w:rPr>
          <w:rFonts w:cs="Arial"/>
        </w:rPr>
        <w:t>zur</w:t>
      </w:r>
      <w:proofErr w:type="spellEnd"/>
      <w:r w:rsidRPr="00B92503">
        <w:rPr>
          <w:rFonts w:cs="Arial"/>
        </w:rPr>
        <w:t xml:space="preserve"> </w:t>
      </w:r>
      <w:proofErr w:type="spellStart"/>
      <w:r w:rsidRPr="00B92503">
        <w:rPr>
          <w:rFonts w:cs="Arial"/>
        </w:rPr>
        <w:t>Umsetzung</w:t>
      </w:r>
      <w:proofErr w:type="spellEnd"/>
      <w:r w:rsidRPr="00B92503">
        <w:rPr>
          <w:rFonts w:cs="Arial"/>
        </w:rPr>
        <w:t xml:space="preserve"> der UNO-</w:t>
      </w:r>
      <w:proofErr w:type="spellStart"/>
      <w:r w:rsidRPr="00B92503">
        <w:rPr>
          <w:rFonts w:cs="Arial"/>
        </w:rPr>
        <w:t>Behindertenrechtskonvention</w:t>
      </w:r>
      <w:proofErr w:type="spellEnd"/>
      <w:r w:rsidRPr="00B92503">
        <w:rPr>
          <w:rFonts w:cs="Arial"/>
        </w:rPr>
        <w:t xml:space="preserve">) </w:t>
      </w:r>
      <w:hyperlink r:id="rId63" w:history="1">
        <w:r w:rsidRPr="00232D65">
          <w:rPr>
            <w:rStyle w:val="Hyperlink"/>
            <w:rFonts w:cs="Arial"/>
          </w:rPr>
          <w:t>https://mfamigr.gouvernement.lu/dam</w:t>
        </w:r>
        <w:r w:rsidRPr="00232D65">
          <w:rPr>
            <w:rStyle w:val="Hyperlink"/>
            <w:rFonts w:cs="Arial"/>
          </w:rPr>
          <w:noBreakHyphen/>
          <w:t>assets/le</w:t>
        </w:r>
        <w:r w:rsidRPr="00232D65">
          <w:rPr>
            <w:rStyle w:val="Hyperlink"/>
            <w:rFonts w:cs="Arial"/>
          </w:rPr>
          <w:noBreakHyphen/>
          <w:t>ministère/attributions/personnes-handicapées/plan-d-action-du-gouvernement-luxembourgeois-en-faveur-des-personnes-handicapees.pdf</w:t>
        </w:r>
      </w:hyperlink>
      <w:r w:rsidRPr="00D22465">
        <w:rPr>
          <w:rStyle w:val="Hyperlink"/>
          <w:rFonts w:cs="Arial"/>
          <w:color w:val="000000"/>
          <w:u w:val="none"/>
        </w:rPr>
        <w:t>.</w:t>
      </w:r>
    </w:p>
  </w:footnote>
  <w:footnote w:id="62">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rPr>
        <w:t xml:space="preserve"> </w:t>
      </w:r>
      <w:r>
        <w:rPr>
          <w:rFonts w:cs="Arial"/>
        </w:rPr>
        <w:tab/>
        <w:t>T</w:t>
      </w:r>
      <w:r w:rsidRPr="00B92503">
        <w:rPr>
          <w:rFonts w:cs="Arial"/>
        </w:rPr>
        <w:t xml:space="preserve">he European Regional Development Fund (ERDF), the European Social Fund (ESF), and the European Agricultural Fund for Rural Development (EAFRD) Luxembourg </w:t>
      </w:r>
      <w:hyperlink r:id="rId64" w:history="1">
        <w:r w:rsidRPr="00B92503">
          <w:rPr>
            <w:rStyle w:val="Hyperlink"/>
            <w:rFonts w:cs="Arial"/>
          </w:rPr>
          <w:t>https://ec.europa.eu/regional_policy/en/information/publications/factsheets/2016/european-structural-and-investment-funds-country-factsheet-luxembourg</w:t>
        </w:r>
      </w:hyperlink>
      <w:r w:rsidRPr="00D22465">
        <w:rPr>
          <w:rStyle w:val="Hyperlink"/>
          <w:rFonts w:cs="Arial"/>
          <w:color w:val="000000"/>
          <w:u w:val="none"/>
        </w:rPr>
        <w:t>.</w:t>
      </w:r>
    </w:p>
  </w:footnote>
  <w:footnote w:id="63">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rPr>
        <w:t xml:space="preserve"> </w:t>
      </w:r>
      <w:r>
        <w:rPr>
          <w:rFonts w:cs="Arial"/>
        </w:rPr>
        <w:tab/>
      </w:r>
      <w:r w:rsidRPr="00B92503">
        <w:rPr>
          <w:rFonts w:cs="Arial"/>
        </w:rPr>
        <w:t xml:space="preserve">Partnership agreement with Luxembourg - 2014-20. </w:t>
      </w:r>
      <w:hyperlink r:id="rId65" w:history="1">
        <w:r w:rsidRPr="00B92503">
          <w:rPr>
            <w:rStyle w:val="Hyperlink"/>
            <w:rFonts w:cs="Arial"/>
          </w:rPr>
          <w:t>https://ec.europa.eu/info/publications/partnership-agreement-luxembourg-2014-20_en</w:t>
        </w:r>
      </w:hyperlink>
      <w:r w:rsidRPr="00D22465">
        <w:rPr>
          <w:rStyle w:val="Hyperlink"/>
          <w:rFonts w:cs="Arial"/>
          <w:color w:val="000000"/>
          <w:u w:val="none"/>
        </w:rPr>
        <w:t>.</w:t>
      </w:r>
    </w:p>
  </w:footnote>
  <w:footnote w:id="64">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rPr>
        <w:t xml:space="preserve"> </w:t>
      </w:r>
      <w:r>
        <w:rPr>
          <w:rFonts w:cs="Arial"/>
        </w:rPr>
        <w:tab/>
      </w:r>
      <w:r w:rsidRPr="00B92503">
        <w:rPr>
          <w:rFonts w:cs="Arial"/>
        </w:rPr>
        <w:t>Summary of the Partnership Agreement for Luxembourg 2014-2020 Overall information</w:t>
      </w:r>
    </w:p>
  </w:footnote>
  <w:footnote w:id="65">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rPr>
        <w:t xml:space="preserve"> </w:t>
      </w:r>
      <w:r>
        <w:rPr>
          <w:rFonts w:cs="Arial"/>
        </w:rPr>
        <w:tab/>
      </w:r>
      <w:r w:rsidRPr="00B92503">
        <w:rPr>
          <w:rFonts w:cs="Arial"/>
        </w:rPr>
        <w:t xml:space="preserve">Statement on the draft law on accessibility (2019) </w:t>
      </w:r>
      <w:hyperlink r:id="rId66" w:history="1">
        <w:r w:rsidRPr="00B92503">
          <w:rPr>
            <w:rStyle w:val="Hyperlink"/>
            <w:rFonts w:cs="Arial"/>
          </w:rPr>
          <w:t>https://www.chd.lu/wps/PA_RoleDesAffaires/FTSByteServingServletImpl?path=A2A75CF85C09915B9999B68B3E9441BADA922DC0FB061F241D67517B95AF096FB02DF2939A997DA367C102671C2ADA80$DD2EF981C2F13DF214417E56D84FCCF6</w:t>
        </w:r>
      </w:hyperlink>
      <w:r w:rsidRPr="00D22465">
        <w:rPr>
          <w:rStyle w:val="Hyperlink"/>
          <w:rFonts w:cs="Arial"/>
          <w:color w:val="000000"/>
          <w:u w:val="none"/>
        </w:rPr>
        <w:t>.</w:t>
      </w:r>
    </w:p>
  </w:footnote>
  <w:footnote w:id="66">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lang w:val="fr-CH"/>
        </w:rPr>
        <w:t xml:space="preserve"> </w:t>
      </w:r>
      <w:r>
        <w:rPr>
          <w:rFonts w:cs="Arial"/>
          <w:lang w:val="fr-CH"/>
        </w:rPr>
        <w:tab/>
      </w:r>
      <w:proofErr w:type="spellStart"/>
      <w:r w:rsidRPr="007C46AB">
        <w:rPr>
          <w:rFonts w:cs="Arial"/>
          <w:lang w:val="fr-FR"/>
        </w:rPr>
        <w:t>Bilingual</w:t>
      </w:r>
      <w:proofErr w:type="spellEnd"/>
      <w:r w:rsidRPr="007C46AB">
        <w:rPr>
          <w:rFonts w:cs="Arial"/>
          <w:lang w:val="fr-FR"/>
        </w:rPr>
        <w:t xml:space="preserve"> </w:t>
      </w:r>
      <w:proofErr w:type="spellStart"/>
      <w:r w:rsidRPr="007C46AB">
        <w:rPr>
          <w:rFonts w:cs="Arial"/>
          <w:lang w:val="fr-FR"/>
        </w:rPr>
        <w:t>statement</w:t>
      </w:r>
      <w:proofErr w:type="spellEnd"/>
      <w:r w:rsidRPr="00B92503">
        <w:rPr>
          <w:rFonts w:cs="Arial"/>
          <w:lang w:val="fr-CH"/>
        </w:rPr>
        <w:t xml:space="preserve"> in the First national action plan, p.1:</w:t>
      </w:r>
      <w:proofErr w:type="gramStart"/>
      <w:r w:rsidRPr="00B92503">
        <w:rPr>
          <w:rFonts w:cs="Arial"/>
          <w:lang w:val="fr-CH"/>
        </w:rPr>
        <w:t xml:space="preserve"> </w:t>
      </w:r>
      <w:r w:rsidRPr="007C46AB">
        <w:rPr>
          <w:rFonts w:cs="Arial"/>
          <w:i/>
          <w:lang w:val="fr-CH"/>
        </w:rPr>
        <w:t>«L’objectif</w:t>
      </w:r>
      <w:proofErr w:type="gramEnd"/>
      <w:r w:rsidRPr="007C46AB">
        <w:rPr>
          <w:rFonts w:cs="Arial"/>
          <w:i/>
          <w:lang w:val="fr-CH"/>
        </w:rPr>
        <w:t xml:space="preserve"> général visé est l’inclusion. Un système intégratif aspire à une insertion des</w:t>
      </w:r>
      <w:proofErr w:type="gramStart"/>
      <w:r w:rsidRPr="007C46AB">
        <w:rPr>
          <w:rFonts w:cs="Arial"/>
          <w:i/>
          <w:lang w:val="fr-CH"/>
        </w:rPr>
        <w:t xml:space="preserve"> «cas</w:t>
      </w:r>
      <w:proofErr w:type="gramEnd"/>
      <w:r w:rsidRPr="007C46AB">
        <w:rPr>
          <w:rFonts w:cs="Arial"/>
          <w:i/>
          <w:lang w:val="fr-CH"/>
        </w:rPr>
        <w:t xml:space="preserve"> problématiques». En revanche, un système inclusif ne tient personne à l’écart, mais accepte chacun comme il est. Un tel système n’a toutefois de sens que si notre environnement est préalablement adapté aux besoins de chaque personne. Une société inclusive, qui équivaut d’ailleurs à une augmentation du potentiel économique et social, présente donc des avantages pour tout le monde</w:t>
      </w:r>
      <w:proofErr w:type="gramStart"/>
      <w:r>
        <w:rPr>
          <w:rFonts w:cs="Arial"/>
          <w:i/>
          <w:lang w:val="fr-CH"/>
        </w:rPr>
        <w:t>.</w:t>
      </w:r>
      <w:r w:rsidRPr="007C46AB">
        <w:rPr>
          <w:rFonts w:cs="Arial"/>
          <w:i/>
          <w:lang w:val="fr-CH"/>
        </w:rPr>
        <w:t>»</w:t>
      </w:r>
      <w:proofErr w:type="gramEnd"/>
      <w:r w:rsidRPr="007C46AB">
        <w:rPr>
          <w:rFonts w:cs="Arial"/>
          <w:i/>
          <w:lang w:val="fr-CH"/>
        </w:rPr>
        <w:t xml:space="preserve"> / </w:t>
      </w:r>
      <w:proofErr w:type="spellStart"/>
      <w:r w:rsidRPr="007C46AB">
        <w:rPr>
          <w:rFonts w:cs="Arial"/>
          <w:i/>
          <w:lang w:val="fr-CH"/>
        </w:rPr>
        <w:t>Das</w:t>
      </w:r>
      <w:proofErr w:type="spellEnd"/>
      <w:r w:rsidRPr="007C46AB">
        <w:rPr>
          <w:rFonts w:cs="Arial"/>
          <w:i/>
          <w:lang w:val="fr-CH"/>
        </w:rPr>
        <w:t xml:space="preserve"> </w:t>
      </w:r>
      <w:proofErr w:type="spellStart"/>
      <w:r w:rsidRPr="007C46AB">
        <w:rPr>
          <w:rFonts w:cs="Arial"/>
          <w:i/>
          <w:lang w:val="fr-CH"/>
        </w:rPr>
        <w:t>übergeordnete</w:t>
      </w:r>
      <w:proofErr w:type="spellEnd"/>
      <w:r w:rsidRPr="007C46AB">
        <w:rPr>
          <w:rFonts w:cs="Arial"/>
          <w:i/>
          <w:lang w:val="fr-CH"/>
        </w:rPr>
        <w:t xml:space="preserve"> </w:t>
      </w:r>
      <w:proofErr w:type="spellStart"/>
      <w:r w:rsidRPr="007C46AB">
        <w:rPr>
          <w:rFonts w:cs="Arial"/>
          <w:i/>
          <w:lang w:val="fr-CH"/>
        </w:rPr>
        <w:t>Ziel</w:t>
      </w:r>
      <w:proofErr w:type="spellEnd"/>
      <w:r w:rsidRPr="007C46AB">
        <w:rPr>
          <w:rFonts w:cs="Arial"/>
          <w:i/>
          <w:lang w:val="fr-CH"/>
        </w:rPr>
        <w:t xml:space="preserve"> </w:t>
      </w:r>
      <w:proofErr w:type="spellStart"/>
      <w:r w:rsidRPr="007C46AB">
        <w:rPr>
          <w:rFonts w:cs="Arial"/>
          <w:i/>
          <w:lang w:val="fr-CH"/>
        </w:rPr>
        <w:t>heißt</w:t>
      </w:r>
      <w:proofErr w:type="spellEnd"/>
      <w:r w:rsidRPr="007C46AB">
        <w:rPr>
          <w:rFonts w:cs="Arial"/>
          <w:i/>
          <w:lang w:val="fr-CH"/>
        </w:rPr>
        <w:t xml:space="preserve"> </w:t>
      </w:r>
      <w:proofErr w:type="spellStart"/>
      <w:r w:rsidRPr="007C46AB">
        <w:rPr>
          <w:rFonts w:cs="Arial"/>
          <w:i/>
          <w:lang w:val="fr-CH"/>
        </w:rPr>
        <w:t>Inklusion</w:t>
      </w:r>
      <w:proofErr w:type="spellEnd"/>
      <w:r w:rsidRPr="007C46AB">
        <w:rPr>
          <w:rFonts w:cs="Arial"/>
          <w:i/>
          <w:lang w:val="fr-CH"/>
        </w:rPr>
        <w:t xml:space="preserve">. </w:t>
      </w:r>
      <w:r w:rsidRPr="007C46AB">
        <w:rPr>
          <w:rFonts w:cs="Arial"/>
          <w:i/>
          <w:lang w:val="de-DE"/>
        </w:rPr>
        <w:t>Ein integratives System strebt die Eingliederung von „Problemfällen“ an. Ein inklusives System hingegen grenzt gar nicht erst aus, sondern nimmt jeden an wie er ist. Ein inklusives System macht nur Sinn, wenn diesem eine Anpassung unserer Umwelt und unseres Umfeldes vorausgeht. Inklusion bedeutet einen Zugewinn von sozialen und wirtschaftlichen Potentialen: dies gilt es zu vermitteln.</w:t>
      </w:r>
      <w:r w:rsidRPr="00B92503">
        <w:rPr>
          <w:rFonts w:cs="Arial"/>
          <w:lang w:val="de-DE"/>
        </w:rPr>
        <w:t xml:space="preserve"> </w:t>
      </w:r>
      <w:hyperlink r:id="rId67" w:history="1">
        <w:r w:rsidRPr="00232D65">
          <w:rPr>
            <w:rStyle w:val="Hyperlink"/>
            <w:rFonts w:cs="Arial"/>
            <w:lang w:val="en-US"/>
          </w:rPr>
          <w:t>https://mfamigr.gouvernement.lu/dam</w:t>
        </w:r>
        <w:r w:rsidRPr="00232D65">
          <w:rPr>
            <w:rStyle w:val="Hyperlink"/>
            <w:rFonts w:cs="Arial"/>
            <w:lang w:val="en-US"/>
          </w:rPr>
          <w:noBreakHyphen/>
          <w:t>assets/le</w:t>
        </w:r>
        <w:r w:rsidRPr="00232D65">
          <w:rPr>
            <w:rStyle w:val="Hyperlink"/>
            <w:rFonts w:cs="Arial"/>
            <w:lang w:val="en-US"/>
          </w:rPr>
          <w:noBreakHyphen/>
          <w:t>ministère/attributions/personnes-handicapées/plan-d-action-du-gouvernement-luxembourgeois-en-faveur-des-personnes-handicapees.pdf</w:t>
        </w:r>
      </w:hyperlink>
      <w:r w:rsidRPr="00D22465">
        <w:rPr>
          <w:rStyle w:val="Hyperlink"/>
          <w:rFonts w:cs="Arial"/>
          <w:color w:val="000000"/>
          <w:u w:val="none"/>
        </w:rPr>
        <w:t>.</w:t>
      </w:r>
    </w:p>
  </w:footnote>
  <w:footnote w:id="67">
    <w:p w:rsidR="009E55DC" w:rsidRPr="00D22465" w:rsidRDefault="009E55DC" w:rsidP="00B92503">
      <w:pPr>
        <w:pStyle w:val="FootnoteText"/>
        <w:ind w:left="284" w:hanging="284"/>
        <w:jc w:val="left"/>
        <w:rPr>
          <w:rFonts w:cs="Arial"/>
          <w:lang w:val="fr-FR"/>
        </w:rPr>
      </w:pPr>
      <w:r w:rsidRPr="00B92503">
        <w:rPr>
          <w:rStyle w:val="FootnoteReference"/>
          <w:rFonts w:cs="Arial"/>
        </w:rPr>
        <w:footnoteRef/>
      </w:r>
      <w:r w:rsidRPr="00B92503">
        <w:rPr>
          <w:rFonts w:cs="Arial"/>
          <w:lang w:val="fr-CH"/>
        </w:rPr>
        <w:t xml:space="preserve"> </w:t>
      </w:r>
      <w:r>
        <w:rPr>
          <w:rFonts w:cs="Arial"/>
          <w:lang w:val="fr-CH"/>
        </w:rPr>
        <w:tab/>
      </w:r>
      <w:r w:rsidRPr="007C46AB">
        <w:rPr>
          <w:rFonts w:cs="Arial"/>
          <w:i/>
          <w:lang w:val="fr-CH"/>
        </w:rPr>
        <w:t>Centre de compétence national pour l'accessibilité des bâtiments (CCNAB)</w:t>
      </w:r>
      <w:r w:rsidRPr="00B92503">
        <w:rPr>
          <w:rFonts w:cs="Arial"/>
          <w:lang w:val="fr-CH"/>
        </w:rPr>
        <w:t xml:space="preserve"> </w:t>
      </w:r>
      <w:hyperlink r:id="rId68" w:history="1">
        <w:r w:rsidRPr="00B92503">
          <w:rPr>
            <w:rStyle w:val="Hyperlink"/>
            <w:rFonts w:cs="Arial"/>
            <w:lang w:val="fr-CH"/>
          </w:rPr>
          <w:t>http://www.adapth.lu/j3/</w:t>
        </w:r>
      </w:hyperlink>
      <w:r w:rsidRPr="00D22465">
        <w:rPr>
          <w:rStyle w:val="Hyperlink"/>
          <w:rFonts w:cs="Arial"/>
          <w:color w:val="000000"/>
          <w:u w:val="none"/>
          <w:lang w:val="fr-FR"/>
        </w:rPr>
        <w:t>.</w:t>
      </w:r>
    </w:p>
  </w:footnote>
  <w:footnote w:id="68">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lang w:val="en-US"/>
        </w:rPr>
        <w:t xml:space="preserve"> </w:t>
      </w:r>
      <w:r>
        <w:rPr>
          <w:rFonts w:cs="Arial"/>
          <w:lang w:val="en-US"/>
        </w:rPr>
        <w:tab/>
      </w:r>
      <w:r w:rsidRPr="00B92503">
        <w:rPr>
          <w:rFonts w:cs="Arial"/>
          <w:lang w:val="en-US"/>
        </w:rPr>
        <w:t xml:space="preserve">None of the following documents tackles Luxembourg </w:t>
      </w:r>
      <w:r w:rsidRPr="00B92503">
        <w:rPr>
          <w:rFonts w:cs="Arial"/>
          <w:i/>
          <w:lang w:val="en-US"/>
        </w:rPr>
        <w:t>EU Agency for Fundamental Rights – from institutions to community-based living Part II - funding and budgeting</w:t>
      </w:r>
      <w:r w:rsidRPr="00B92503">
        <w:rPr>
          <w:rFonts w:cs="Arial"/>
          <w:lang w:val="en-US"/>
        </w:rPr>
        <w:t xml:space="preserve">; </w:t>
      </w:r>
      <w:r w:rsidRPr="00B92503">
        <w:rPr>
          <w:rFonts w:cs="Arial"/>
          <w:i/>
          <w:lang w:val="en-US"/>
        </w:rPr>
        <w:t>Community Living for Europe: Structural Funds Watch country profiles</w:t>
      </w:r>
      <w:r w:rsidRPr="00B92503">
        <w:rPr>
          <w:rFonts w:cs="Arial"/>
          <w:lang w:val="en-US"/>
        </w:rPr>
        <w:t xml:space="preserve">; </w:t>
      </w:r>
      <w:proofErr w:type="gramStart"/>
      <w:r w:rsidRPr="00B92503">
        <w:rPr>
          <w:rFonts w:cs="Arial"/>
          <w:i/>
          <w:lang w:val="en-US"/>
        </w:rPr>
        <w:t>Opening up</w:t>
      </w:r>
      <w:proofErr w:type="gramEnd"/>
      <w:r w:rsidRPr="00B92503">
        <w:rPr>
          <w:rFonts w:cs="Arial"/>
          <w:i/>
          <w:lang w:val="en-US"/>
        </w:rPr>
        <w:t xml:space="preserve"> communities, closing down institutions – report by Community Living for Europe</w:t>
      </w:r>
      <w:r w:rsidRPr="00B92503">
        <w:rPr>
          <w:rFonts w:cs="Arial"/>
          <w:lang w:val="en-US"/>
        </w:rPr>
        <w:t xml:space="preserve">: </w:t>
      </w:r>
      <w:r w:rsidRPr="00B92503">
        <w:rPr>
          <w:rFonts w:cs="Arial"/>
          <w:i/>
          <w:lang w:val="en-US"/>
        </w:rPr>
        <w:t>Structural Funds Watch</w:t>
      </w:r>
      <w:r w:rsidRPr="00B92503">
        <w:rPr>
          <w:rFonts w:cs="Arial"/>
          <w:lang w:val="en-US"/>
        </w:rPr>
        <w:t xml:space="preserve"> (2017).</w:t>
      </w:r>
    </w:p>
  </w:footnote>
  <w:footnote w:id="69">
    <w:p w:rsidR="009E55DC" w:rsidRPr="00D22465" w:rsidRDefault="009E55DC" w:rsidP="00B92503">
      <w:pPr>
        <w:pStyle w:val="FootnoteText"/>
        <w:ind w:left="284" w:hanging="284"/>
        <w:jc w:val="left"/>
        <w:rPr>
          <w:rFonts w:cs="Arial"/>
          <w:lang w:val="de-DE"/>
        </w:rPr>
      </w:pPr>
      <w:r w:rsidRPr="00B92503">
        <w:rPr>
          <w:rStyle w:val="FootnoteReference"/>
          <w:rFonts w:cs="Arial"/>
        </w:rPr>
        <w:footnoteRef/>
      </w:r>
      <w:r w:rsidRPr="00B92503">
        <w:rPr>
          <w:rFonts w:cs="Arial"/>
          <w:lang w:val="fr-CH"/>
        </w:rPr>
        <w:t xml:space="preserve"> </w:t>
      </w:r>
      <w:r>
        <w:rPr>
          <w:rFonts w:cs="Arial"/>
          <w:lang w:val="fr-CH"/>
        </w:rPr>
        <w:tab/>
      </w:r>
      <w:r w:rsidRPr="00B92503">
        <w:rPr>
          <w:rFonts w:cs="Arial"/>
          <w:lang w:val="fr-CH"/>
        </w:rPr>
        <w:t xml:space="preserve">Assurance dépendance 1998. </w:t>
      </w:r>
      <w:hyperlink r:id="rId69" w:history="1">
        <w:r w:rsidRPr="00D22465">
          <w:rPr>
            <w:rStyle w:val="Hyperlink"/>
            <w:rFonts w:cs="Arial"/>
            <w:lang w:val="de-DE"/>
          </w:rPr>
          <w:t>https://www.secu.lu/assurance-dependance/</w:t>
        </w:r>
      </w:hyperlink>
      <w:r w:rsidRPr="00D22465">
        <w:rPr>
          <w:rStyle w:val="Hyperlink"/>
          <w:rFonts w:cs="Arial"/>
          <w:color w:val="000000"/>
          <w:u w:val="none"/>
          <w:lang w:val="de-DE"/>
        </w:rPr>
        <w:t>.</w:t>
      </w:r>
      <w:r w:rsidRPr="00D22465">
        <w:rPr>
          <w:rStyle w:val="Hyperlink"/>
          <w:rFonts w:cs="Arial"/>
          <w:lang w:val="de-DE"/>
        </w:rPr>
        <w:t xml:space="preserve"> </w:t>
      </w:r>
    </w:p>
  </w:footnote>
  <w:footnote w:id="70">
    <w:p w:rsidR="009E55DC" w:rsidRPr="00D22465" w:rsidRDefault="009E55DC" w:rsidP="00B92503">
      <w:pPr>
        <w:pStyle w:val="FootnoteText"/>
        <w:ind w:left="284" w:hanging="284"/>
        <w:jc w:val="left"/>
        <w:rPr>
          <w:rFonts w:cs="Arial"/>
          <w:lang w:val="de-DE"/>
        </w:rPr>
      </w:pPr>
      <w:r w:rsidRPr="00B92503">
        <w:rPr>
          <w:rStyle w:val="FootnoteReference"/>
          <w:rFonts w:cs="Arial"/>
        </w:rPr>
        <w:footnoteRef/>
      </w:r>
      <w:r w:rsidRPr="00B92503">
        <w:rPr>
          <w:rFonts w:cs="Arial"/>
          <w:lang w:val="de-DE"/>
        </w:rPr>
        <w:t xml:space="preserve"> </w:t>
      </w:r>
      <w:r>
        <w:rPr>
          <w:rFonts w:cs="Arial"/>
          <w:lang w:val="de-DE"/>
        </w:rPr>
        <w:tab/>
      </w:r>
      <w:r w:rsidRPr="007C46AB">
        <w:rPr>
          <w:rFonts w:cs="Arial"/>
          <w:i/>
          <w:lang w:val="de-DE"/>
        </w:rPr>
        <w:t>Nëmme mat Eis pressinformation</w:t>
      </w:r>
      <w:r w:rsidRPr="00B92503">
        <w:rPr>
          <w:rFonts w:cs="Arial"/>
          <w:lang w:val="de-DE"/>
        </w:rPr>
        <w:t xml:space="preserve"> </w:t>
      </w:r>
      <w:hyperlink r:id="rId70" w:history="1">
        <w:r w:rsidRPr="00B92503">
          <w:rPr>
            <w:rStyle w:val="Hyperlink"/>
            <w:rFonts w:cs="Arial"/>
            <w:lang w:val="de-DE"/>
          </w:rPr>
          <w:t>http://www.youtube.com/watch?v=6S8n8vQQgkk&amp;feature=share</w:t>
        </w:r>
      </w:hyperlink>
      <w:r w:rsidRPr="00D22465">
        <w:rPr>
          <w:rStyle w:val="Hyperlink"/>
          <w:rFonts w:cs="Arial"/>
          <w:color w:val="000000"/>
          <w:u w:val="none"/>
          <w:lang w:val="de-DE"/>
        </w:rPr>
        <w:t>.</w:t>
      </w:r>
    </w:p>
  </w:footnote>
  <w:footnote w:id="71">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de-DE"/>
        </w:rPr>
        <w:t xml:space="preserve"> </w:t>
      </w:r>
      <w:r>
        <w:rPr>
          <w:rFonts w:cs="Arial"/>
          <w:lang w:val="de-DE"/>
        </w:rPr>
        <w:tab/>
      </w:r>
      <w:r w:rsidRPr="00B92503">
        <w:rPr>
          <w:rFonts w:cs="Arial"/>
          <w:lang w:val="de-DE"/>
        </w:rPr>
        <w:t xml:space="preserve">Info Handicap (n/a, p.6) Behindertengerechtes Wohnen = Selbstbestimmtes Wohnen? Logement adapté = Logement autodéterminé? </w:t>
      </w:r>
      <w:r w:rsidRPr="00B92503">
        <w:rPr>
          <w:rFonts w:cs="Arial"/>
          <w:lang w:val="de-DE"/>
        </w:rPr>
        <w:t>«</w:t>
      </w:r>
      <w:r w:rsidRPr="00B92503">
        <w:rPr>
          <w:rFonts w:cs="Arial"/>
          <w:i/>
          <w:lang w:val="de-DE"/>
        </w:rPr>
        <w:t>In Luxemburg gibt es leider noch keine Organisation die sich für selbstbestimmtes Leben einsetzt.</w:t>
      </w:r>
      <w:r w:rsidRPr="00B92503">
        <w:rPr>
          <w:rFonts w:cs="Arial"/>
          <w:lang w:val="de-DE"/>
        </w:rPr>
        <w:t xml:space="preserve">» </w:t>
      </w:r>
      <w:r>
        <w:fldChar w:fldCharType="begin"/>
      </w:r>
      <w:r w:rsidRPr="00256857">
        <w:rPr>
          <w:lang w:val="nl-NL"/>
        </w:rPr>
        <w:instrText xml:space="preserve"> HYPERLINK "http://www.infohandicap.lu/index.php/deDE/dokumente/test/537-top-thema-logement/file" </w:instrText>
      </w:r>
      <w:r>
        <w:fldChar w:fldCharType="separate"/>
      </w:r>
      <w:r w:rsidRPr="00232D65">
        <w:rPr>
          <w:rStyle w:val="Hyperlink"/>
          <w:rFonts w:cs="Arial"/>
          <w:lang w:val="fr-CH"/>
        </w:rPr>
        <w:t>http://www.info</w:t>
      </w:r>
      <w:r w:rsidRPr="00232D65">
        <w:rPr>
          <w:rStyle w:val="Hyperlink"/>
          <w:rFonts w:cs="Arial"/>
          <w:lang w:val="fr-CH"/>
        </w:rPr>
        <w:noBreakHyphen/>
        <w:t>handicap.lu/index.php/de</w:t>
      </w:r>
      <w:r w:rsidRPr="00232D65">
        <w:rPr>
          <w:rStyle w:val="Hyperlink"/>
          <w:rFonts w:cs="Arial"/>
          <w:lang w:val="fr-CH"/>
        </w:rPr>
        <w:noBreakHyphen/>
        <w:t>DE/dokumente/test/537-top-thema-logement/file</w:t>
      </w:r>
      <w:r>
        <w:rPr>
          <w:rStyle w:val="Hyperlink"/>
          <w:rFonts w:cs="Arial"/>
          <w:lang w:val="fr-CH"/>
        </w:rPr>
        <w:fldChar w:fldCharType="end"/>
      </w:r>
      <w:r w:rsidRPr="00D22465">
        <w:rPr>
          <w:rStyle w:val="Hyperlink"/>
          <w:rFonts w:cs="Arial"/>
          <w:color w:val="000000"/>
          <w:u w:val="none"/>
          <w:lang w:val="fr-CH"/>
        </w:rPr>
        <w:t>.</w:t>
      </w:r>
      <w:r w:rsidRPr="00B92503">
        <w:rPr>
          <w:rFonts w:cs="Arial"/>
          <w:lang w:val="fr-CH"/>
        </w:rPr>
        <w:t xml:space="preserve"> </w:t>
      </w:r>
    </w:p>
  </w:footnote>
  <w:footnote w:id="72">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rPr>
        <w:t xml:space="preserve"> </w:t>
      </w:r>
      <w:r>
        <w:rPr>
          <w:rFonts w:cs="Arial"/>
        </w:rPr>
        <w:tab/>
      </w:r>
      <w:r w:rsidRPr="00B92503">
        <w:rPr>
          <w:rFonts w:cs="Arial"/>
          <w:lang w:val="en-US"/>
        </w:rPr>
        <w:t xml:space="preserve">ESIP </w:t>
      </w:r>
      <w:hyperlink r:id="rId71" w:history="1">
        <w:r w:rsidRPr="00B92503">
          <w:rPr>
            <w:rStyle w:val="Hyperlink"/>
            <w:rFonts w:cs="Arial"/>
            <w:lang w:val="en-US"/>
          </w:rPr>
          <w:t>https://ec.europa.eu/eip/ageing/actiongroup/index/c2_en</w:t>
        </w:r>
      </w:hyperlink>
      <w:r w:rsidRPr="00B92503">
        <w:rPr>
          <w:rFonts w:cs="Arial"/>
          <w:lang w:val="en-US"/>
        </w:rPr>
        <w:t xml:space="preserve"> and </w:t>
      </w:r>
      <w:hyperlink r:id="rId72" w:history="1">
        <w:r w:rsidRPr="00B92503">
          <w:rPr>
            <w:rStyle w:val="Hyperlink"/>
            <w:rFonts w:cs="Arial"/>
            <w:lang w:val="en-US"/>
          </w:rPr>
          <w:t>https://ec.europa.eu/eip/ageing/actiongroup/index/b3_en</w:t>
        </w:r>
      </w:hyperlink>
      <w:r w:rsidRPr="00D22465">
        <w:rPr>
          <w:rStyle w:val="Hyperlink"/>
          <w:rFonts w:cs="Arial"/>
          <w:color w:val="000000"/>
          <w:u w:val="none"/>
        </w:rPr>
        <w:t>.</w:t>
      </w:r>
    </w:p>
  </w:footnote>
  <w:footnote w:id="73">
    <w:p w:rsidR="009E55DC" w:rsidRPr="00D22465" w:rsidRDefault="009E55DC" w:rsidP="00B92503">
      <w:pPr>
        <w:pStyle w:val="FootnoteText"/>
        <w:ind w:left="284" w:hanging="284"/>
        <w:jc w:val="left"/>
        <w:rPr>
          <w:rFonts w:cs="Arial"/>
          <w:lang w:val="nl-NL"/>
        </w:rPr>
      </w:pPr>
      <w:r w:rsidRPr="00B92503">
        <w:rPr>
          <w:rStyle w:val="FootnoteReference"/>
          <w:rFonts w:cs="Arial"/>
        </w:rPr>
        <w:footnoteRef/>
      </w:r>
      <w:r w:rsidRPr="00B92503">
        <w:rPr>
          <w:rFonts w:cs="Arial"/>
          <w:lang w:val="nl-NL"/>
        </w:rPr>
        <w:t xml:space="preserve"> </w:t>
      </w:r>
      <w:r>
        <w:rPr>
          <w:rFonts w:cs="Arial"/>
          <w:lang w:val="nl-NL"/>
        </w:rPr>
        <w:tab/>
      </w:r>
      <w:r w:rsidRPr="00B92503">
        <w:rPr>
          <w:rFonts w:cs="Arial"/>
          <w:lang w:val="nl-NL"/>
        </w:rPr>
        <w:t xml:space="preserve">FSE </w:t>
      </w:r>
      <w:hyperlink r:id="rId73" w:anchor="main" w:history="1">
        <w:r w:rsidRPr="00232D65">
          <w:rPr>
            <w:rStyle w:val="Hyperlink"/>
            <w:rFonts w:cs="Arial"/>
            <w:lang w:val="nl-NL"/>
          </w:rPr>
          <w:t>http://www.fonds</w:t>
        </w:r>
        <w:r w:rsidRPr="00232D65">
          <w:rPr>
            <w:rStyle w:val="Hyperlink"/>
            <w:rFonts w:cs="Arial"/>
            <w:lang w:val="nl-NL"/>
          </w:rPr>
          <w:noBreakHyphen/>
          <w:t>europeens.public.lu/fr/projets</w:t>
        </w:r>
        <w:r w:rsidRPr="00232D65">
          <w:rPr>
            <w:rStyle w:val="Hyperlink"/>
            <w:rFonts w:cs="Arial"/>
            <w:lang w:val="nl-NL"/>
          </w:rPr>
          <w:noBreakHyphen/>
          <w:t>cofinances/index.php?~=do&amp;from=search&amp;r%5B0%5D=f%2Fcategory%2Ffse&amp;r%5B1%5D=f%2Ftype%2Finclusion+sociale+et+pauvrete&amp;res_length=10&amp;q=%23all&amp;s=score&amp;b=10#main</w:t>
        </w:r>
      </w:hyperlink>
      <w:r w:rsidRPr="00D22465">
        <w:rPr>
          <w:rStyle w:val="Hyperlink"/>
          <w:rFonts w:cs="Arial"/>
          <w:color w:val="000000"/>
          <w:u w:val="none"/>
          <w:lang w:val="nl-NL"/>
        </w:rPr>
        <w:t>.</w:t>
      </w:r>
    </w:p>
  </w:footnote>
  <w:footnote w:id="74">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lang w:val="fr-CH"/>
        </w:rPr>
        <w:t xml:space="preserve"> </w:t>
      </w:r>
      <w:r>
        <w:rPr>
          <w:rFonts w:cs="Arial"/>
          <w:lang w:val="fr-CH"/>
        </w:rPr>
        <w:tab/>
      </w:r>
      <w:r w:rsidRPr="00B92503">
        <w:rPr>
          <w:rFonts w:cs="Arial"/>
          <w:lang w:val="fr-CH"/>
        </w:rPr>
        <w:t>COSP-HR (</w:t>
      </w:r>
      <w:r w:rsidRPr="00B92503">
        <w:rPr>
          <w:rFonts w:cs="Arial"/>
          <w:i/>
          <w:lang w:val="fr-CH"/>
        </w:rPr>
        <w:t>Centre d’évaluation et d’orientation socio-professionnelle pour les demandeurs d’emploi ayant le statut du salarié handicapé et/ou du reclassement externe</w:t>
      </w:r>
      <w:r w:rsidRPr="00B92503">
        <w:rPr>
          <w:rFonts w:cs="Arial"/>
          <w:lang w:val="fr-CH"/>
        </w:rPr>
        <w:t xml:space="preserve">) </w:t>
      </w:r>
      <w:proofErr w:type="spellStart"/>
      <w:r w:rsidRPr="00B92503">
        <w:rPr>
          <w:rFonts w:cs="Arial"/>
          <w:lang w:val="fr-CH"/>
        </w:rPr>
        <w:t>Advisery</w:t>
      </w:r>
      <w:proofErr w:type="spellEnd"/>
      <w:r w:rsidRPr="00B92503">
        <w:rPr>
          <w:rFonts w:cs="Arial"/>
          <w:lang w:val="fr-CH"/>
        </w:rPr>
        <w:t xml:space="preserve"> office for </w:t>
      </w:r>
      <w:proofErr w:type="spellStart"/>
      <w:r w:rsidRPr="00B92503">
        <w:rPr>
          <w:rFonts w:cs="Arial"/>
          <w:lang w:val="fr-CH"/>
        </w:rPr>
        <w:t>persons</w:t>
      </w:r>
      <w:proofErr w:type="spellEnd"/>
      <w:r w:rsidRPr="00B92503">
        <w:rPr>
          <w:rFonts w:cs="Arial"/>
          <w:lang w:val="fr-CH"/>
        </w:rPr>
        <w:t xml:space="preserve"> </w:t>
      </w:r>
      <w:proofErr w:type="spellStart"/>
      <w:r w:rsidRPr="00B92503">
        <w:rPr>
          <w:rFonts w:cs="Arial"/>
          <w:lang w:val="fr-CH"/>
        </w:rPr>
        <w:t>with</w:t>
      </w:r>
      <w:proofErr w:type="spellEnd"/>
      <w:r w:rsidRPr="00B92503">
        <w:rPr>
          <w:rFonts w:cs="Arial"/>
          <w:lang w:val="fr-CH"/>
        </w:rPr>
        <w:t xml:space="preserve"> </w:t>
      </w:r>
      <w:proofErr w:type="spellStart"/>
      <w:r w:rsidRPr="00B92503">
        <w:rPr>
          <w:rFonts w:cs="Arial"/>
          <w:lang w:val="fr-CH"/>
        </w:rPr>
        <w:t>disabilities</w:t>
      </w:r>
      <w:proofErr w:type="spellEnd"/>
      <w:r w:rsidRPr="00B92503">
        <w:rPr>
          <w:rFonts w:cs="Arial"/>
          <w:lang w:val="fr-CH"/>
        </w:rPr>
        <w:t xml:space="preserve"> or </w:t>
      </w:r>
      <w:proofErr w:type="spellStart"/>
      <w:r w:rsidRPr="00B92503">
        <w:rPr>
          <w:rFonts w:cs="Arial"/>
          <w:lang w:val="fr-CH"/>
        </w:rPr>
        <w:t>reduced</w:t>
      </w:r>
      <w:proofErr w:type="spellEnd"/>
      <w:r w:rsidRPr="00B92503">
        <w:rPr>
          <w:rFonts w:cs="Arial"/>
          <w:lang w:val="fr-CH"/>
        </w:rPr>
        <w:t xml:space="preserve"> </w:t>
      </w:r>
      <w:proofErr w:type="spellStart"/>
      <w:r w:rsidRPr="00B92503">
        <w:rPr>
          <w:rFonts w:cs="Arial"/>
          <w:lang w:val="fr-CH"/>
        </w:rPr>
        <w:t>working</w:t>
      </w:r>
      <w:proofErr w:type="spellEnd"/>
      <w:r w:rsidRPr="00B92503">
        <w:rPr>
          <w:rFonts w:cs="Arial"/>
          <w:lang w:val="fr-CH"/>
        </w:rPr>
        <w:t xml:space="preserve"> </w:t>
      </w:r>
      <w:proofErr w:type="spellStart"/>
      <w:r w:rsidRPr="00B92503">
        <w:rPr>
          <w:rFonts w:cs="Arial"/>
          <w:lang w:val="fr-CH"/>
        </w:rPr>
        <w:t>capacity</w:t>
      </w:r>
      <w:proofErr w:type="spellEnd"/>
      <w:r w:rsidRPr="00B92503">
        <w:rPr>
          <w:rFonts w:cs="Arial"/>
          <w:lang w:val="fr-CH"/>
        </w:rPr>
        <w:t xml:space="preserve">. </w:t>
      </w:r>
      <w:hyperlink r:id="rId74" w:history="1">
        <w:r w:rsidRPr="00B92503">
          <w:rPr>
            <w:rStyle w:val="Hyperlink"/>
            <w:rFonts w:cs="Arial"/>
          </w:rPr>
          <w:t>http://www.fonds-europeens.public.lu/fr/projets-cofinances/fse/2014-2020/1042/index.html</w:t>
        </w:r>
      </w:hyperlink>
      <w:r w:rsidRPr="00B92503">
        <w:rPr>
          <w:rFonts w:cs="Arial"/>
        </w:rPr>
        <w:t xml:space="preserve"> see also FSE: </w:t>
      </w:r>
      <w:hyperlink r:id="rId75" w:history="1">
        <w:r w:rsidRPr="00B92503">
          <w:rPr>
            <w:rStyle w:val="Hyperlink"/>
            <w:rFonts w:cs="Arial"/>
          </w:rPr>
          <w:t>http://www.fonds-europeens.public.lu/fr/projets-cofinances/fse/2014-2020/1042/index.html</w:t>
        </w:r>
      </w:hyperlink>
      <w:r w:rsidRPr="00D22465">
        <w:rPr>
          <w:rStyle w:val="Hyperlink"/>
          <w:rFonts w:cs="Arial"/>
          <w:color w:val="000000"/>
          <w:u w:val="none"/>
        </w:rPr>
        <w:t>.</w:t>
      </w:r>
      <w:r w:rsidRPr="00B92503">
        <w:rPr>
          <w:rFonts w:cs="Arial"/>
        </w:rPr>
        <w:t xml:space="preserve"> </w:t>
      </w:r>
    </w:p>
  </w:footnote>
  <w:footnote w:id="75">
    <w:p w:rsidR="009E55DC" w:rsidRPr="00D22465" w:rsidRDefault="009E55DC" w:rsidP="00B92503">
      <w:pPr>
        <w:pStyle w:val="FootnoteText"/>
        <w:ind w:left="284" w:hanging="284"/>
        <w:jc w:val="left"/>
        <w:rPr>
          <w:rFonts w:cs="Arial"/>
          <w:lang w:val="fr-FR"/>
        </w:rPr>
      </w:pPr>
      <w:r w:rsidRPr="00B92503">
        <w:rPr>
          <w:rStyle w:val="FootnoteReference"/>
          <w:rFonts w:cs="Arial"/>
        </w:rPr>
        <w:footnoteRef/>
      </w:r>
      <w:r w:rsidRPr="00B92503">
        <w:rPr>
          <w:rFonts w:cs="Arial"/>
          <w:lang w:val="fr-CH"/>
        </w:rPr>
        <w:t xml:space="preserve"> </w:t>
      </w:r>
      <w:r>
        <w:rPr>
          <w:rFonts w:cs="Arial"/>
          <w:lang w:val="fr-CH"/>
        </w:rPr>
        <w:tab/>
      </w:r>
      <w:proofErr w:type="spellStart"/>
      <w:r w:rsidRPr="00B92503">
        <w:rPr>
          <w:rFonts w:cs="Arial"/>
          <w:lang w:val="fr-CH"/>
        </w:rPr>
        <w:t>Additional</w:t>
      </w:r>
      <w:proofErr w:type="spellEnd"/>
      <w:r w:rsidRPr="00B92503">
        <w:rPr>
          <w:rFonts w:cs="Arial"/>
          <w:lang w:val="fr-CH"/>
        </w:rPr>
        <w:t xml:space="preserve"> </w:t>
      </w:r>
      <w:proofErr w:type="spellStart"/>
      <w:r w:rsidRPr="00B92503">
        <w:rPr>
          <w:rFonts w:cs="Arial"/>
          <w:lang w:val="fr-CH"/>
        </w:rPr>
        <w:t>text</w:t>
      </w:r>
      <w:proofErr w:type="spellEnd"/>
      <w:r w:rsidRPr="00B92503">
        <w:rPr>
          <w:rFonts w:cs="Arial"/>
          <w:lang w:val="fr-CH"/>
        </w:rPr>
        <w:t xml:space="preserve"> to the </w:t>
      </w:r>
      <w:proofErr w:type="spellStart"/>
      <w:r w:rsidRPr="00B92503">
        <w:rPr>
          <w:rFonts w:cs="Arial"/>
          <w:lang w:val="fr-CH"/>
        </w:rPr>
        <w:t>Regulation</w:t>
      </w:r>
      <w:proofErr w:type="spellEnd"/>
      <w:r w:rsidRPr="00B92503">
        <w:rPr>
          <w:rFonts w:cs="Arial"/>
          <w:lang w:val="fr-CH"/>
        </w:rPr>
        <w:t xml:space="preserve"> on </w:t>
      </w:r>
      <w:proofErr w:type="spellStart"/>
      <w:r w:rsidRPr="00B92503">
        <w:rPr>
          <w:rFonts w:cs="Arial"/>
          <w:lang w:val="fr-CH"/>
        </w:rPr>
        <w:t>agreements</w:t>
      </w:r>
      <w:proofErr w:type="spellEnd"/>
      <w:r w:rsidRPr="00B92503">
        <w:rPr>
          <w:rFonts w:cs="Arial"/>
          <w:lang w:val="fr-CH"/>
        </w:rPr>
        <w:t xml:space="preserve"> of service providers in </w:t>
      </w:r>
      <w:proofErr w:type="spellStart"/>
      <w:r w:rsidRPr="00B92503">
        <w:rPr>
          <w:rFonts w:cs="Arial"/>
          <w:lang w:val="fr-CH"/>
        </w:rPr>
        <w:t>favor</w:t>
      </w:r>
      <w:proofErr w:type="spellEnd"/>
      <w:r w:rsidRPr="00B92503">
        <w:rPr>
          <w:rFonts w:cs="Arial"/>
          <w:lang w:val="fr-CH"/>
        </w:rPr>
        <w:t xml:space="preserve"> of </w:t>
      </w:r>
      <w:proofErr w:type="spellStart"/>
      <w:r w:rsidRPr="00B92503">
        <w:rPr>
          <w:rFonts w:cs="Arial"/>
          <w:lang w:val="fr-CH"/>
        </w:rPr>
        <w:t>persons</w:t>
      </w:r>
      <w:proofErr w:type="spellEnd"/>
      <w:r w:rsidRPr="00B92503">
        <w:rPr>
          <w:rFonts w:cs="Arial"/>
          <w:lang w:val="fr-CH"/>
        </w:rPr>
        <w:t xml:space="preserve"> </w:t>
      </w:r>
      <w:proofErr w:type="spellStart"/>
      <w:r w:rsidRPr="00B92503">
        <w:rPr>
          <w:rFonts w:cs="Arial"/>
          <w:lang w:val="fr-CH"/>
        </w:rPr>
        <w:t>with</w:t>
      </w:r>
      <w:proofErr w:type="spellEnd"/>
      <w:r w:rsidRPr="00B92503">
        <w:rPr>
          <w:rFonts w:cs="Arial"/>
          <w:lang w:val="fr-CH"/>
        </w:rPr>
        <w:t xml:space="preserve"> </w:t>
      </w:r>
      <w:proofErr w:type="spellStart"/>
      <w:r w:rsidRPr="00B92503">
        <w:rPr>
          <w:rFonts w:cs="Arial"/>
          <w:lang w:val="fr-CH"/>
        </w:rPr>
        <w:t>disabilities</w:t>
      </w:r>
      <w:proofErr w:type="spellEnd"/>
      <w:r w:rsidRPr="00B92503">
        <w:rPr>
          <w:rFonts w:cs="Arial"/>
          <w:lang w:val="fr-CH"/>
        </w:rPr>
        <w:t xml:space="preserve"> - 2009 (</w:t>
      </w:r>
      <w:r w:rsidRPr="00E32B1A">
        <w:rPr>
          <w:rFonts w:cs="Arial"/>
          <w:i/>
          <w:lang w:val="fr-CH"/>
        </w:rPr>
        <w:t>Texte coordonné du 4 mars 2009 du règlement grand-ducal modifié du 23 avril 2004 concernant l’agrément gouvernemental à accorder aux gestionnaires de services pour personnes handicapées</w:t>
      </w:r>
      <w:r>
        <w:rPr>
          <w:rFonts w:cs="Arial"/>
          <w:lang w:val="fr-CH"/>
        </w:rPr>
        <w:t>)</w:t>
      </w:r>
      <w:r w:rsidRPr="00B92503">
        <w:rPr>
          <w:rFonts w:cs="Arial"/>
          <w:lang w:val="fr-CH"/>
        </w:rPr>
        <w:t xml:space="preserve"> </w:t>
      </w:r>
      <w:hyperlink r:id="rId76" w:history="1">
        <w:r w:rsidRPr="00B92503">
          <w:rPr>
            <w:rStyle w:val="Hyperlink"/>
            <w:rFonts w:cs="Arial"/>
            <w:lang w:val="fr-CH"/>
          </w:rPr>
          <w:t>http://www.fedas.lu/wp-content/uploads/2016/10/AGREMENT-services-pour-personnes-en-situation-de-handicap.pdf</w:t>
        </w:r>
      </w:hyperlink>
      <w:r w:rsidRPr="00D22465">
        <w:rPr>
          <w:rStyle w:val="Hyperlink"/>
          <w:rFonts w:cs="Arial"/>
          <w:color w:val="000000"/>
          <w:u w:val="none"/>
          <w:lang w:val="fr-FR"/>
        </w:rPr>
        <w:t>.</w:t>
      </w:r>
    </w:p>
  </w:footnote>
  <w:footnote w:id="76">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lang w:val="de-DE"/>
        </w:rPr>
        <w:t xml:space="preserve"> </w:t>
      </w:r>
      <w:r>
        <w:rPr>
          <w:rFonts w:cs="Arial"/>
          <w:lang w:val="de-DE"/>
        </w:rPr>
        <w:tab/>
      </w:r>
      <w:r w:rsidRPr="00B92503">
        <w:rPr>
          <w:rFonts w:cs="Arial"/>
          <w:lang w:val="de-DE"/>
        </w:rPr>
        <w:t xml:space="preserve">Rössner, Wulf (2009). Psychiatrie Luxemburg Stand der Umsetzung der Empfehlungen der Planungsstudie 2005.  </w:t>
      </w:r>
      <w:hyperlink r:id="rId77" w:history="1">
        <w:r w:rsidRPr="00B92503">
          <w:rPr>
            <w:rStyle w:val="Hyperlink"/>
            <w:rFonts w:cs="Arial"/>
            <w:lang w:val="en-US"/>
          </w:rPr>
          <w:t>https://gouvernement.lu/dam-assets/fr/actualites/articles/2009/04-avril/20-bartolomeo-psychiatrie/Lux-PC.pdf</w:t>
        </w:r>
      </w:hyperlink>
      <w:r w:rsidRPr="00D22465">
        <w:rPr>
          <w:rStyle w:val="Hyperlink"/>
          <w:rFonts w:cs="Arial"/>
          <w:color w:val="000000"/>
          <w:u w:val="none"/>
        </w:rPr>
        <w:t>.</w:t>
      </w:r>
    </w:p>
  </w:footnote>
  <w:footnote w:id="77">
    <w:p w:rsidR="009E55DC" w:rsidRPr="00D22465" w:rsidRDefault="009E55DC" w:rsidP="00B92503">
      <w:pPr>
        <w:pStyle w:val="FootnoteText"/>
        <w:ind w:left="284" w:hanging="284"/>
        <w:jc w:val="left"/>
        <w:rPr>
          <w:rFonts w:cs="Arial"/>
          <w:lang w:val="fr-FR"/>
        </w:rPr>
      </w:pPr>
      <w:r w:rsidRPr="00B92503">
        <w:rPr>
          <w:rStyle w:val="FootnoteReference"/>
          <w:rFonts w:cs="Arial"/>
        </w:rPr>
        <w:footnoteRef/>
      </w:r>
      <w:r w:rsidRPr="00B92503">
        <w:rPr>
          <w:rFonts w:cs="Arial"/>
          <w:lang w:val="fr-CH"/>
        </w:rPr>
        <w:t xml:space="preserve"> </w:t>
      </w:r>
      <w:r>
        <w:rPr>
          <w:rFonts w:cs="Arial"/>
          <w:lang w:val="fr-CH"/>
        </w:rPr>
        <w:tab/>
      </w:r>
      <w:r w:rsidRPr="00B92503">
        <w:rPr>
          <w:rFonts w:cs="Arial"/>
          <w:lang w:val="fr-CH"/>
        </w:rPr>
        <w:t xml:space="preserve">Le Gouvernement du </w:t>
      </w:r>
      <w:proofErr w:type="spellStart"/>
      <w:r w:rsidRPr="00B92503">
        <w:rPr>
          <w:rFonts w:cs="Arial"/>
          <w:lang w:val="fr-CH"/>
        </w:rPr>
        <w:t>GdL</w:t>
      </w:r>
      <w:proofErr w:type="spellEnd"/>
      <w:r w:rsidRPr="00B92503">
        <w:rPr>
          <w:rFonts w:cs="Arial"/>
          <w:lang w:val="fr-CH"/>
        </w:rPr>
        <w:t xml:space="preserve"> 2013 Communiqué de presse : </w:t>
      </w:r>
      <w:proofErr w:type="spellStart"/>
      <w:r w:rsidRPr="00B92503">
        <w:rPr>
          <w:rFonts w:cs="Arial"/>
          <w:lang w:val="fr-CH"/>
        </w:rPr>
        <w:t>Réforme</w:t>
      </w:r>
      <w:proofErr w:type="spellEnd"/>
      <w:r w:rsidRPr="00B92503">
        <w:rPr>
          <w:rFonts w:cs="Arial"/>
          <w:lang w:val="fr-CH"/>
        </w:rPr>
        <w:t xml:space="preserve"> de la Psychiatrie et politique de santé mentale Date : Jeudi 26 Septembre 2013 </w:t>
      </w:r>
      <w:hyperlink r:id="rId78" w:history="1">
        <w:r w:rsidRPr="00232D65">
          <w:rPr>
            <w:rStyle w:val="Hyperlink"/>
            <w:rFonts w:cs="Arial"/>
            <w:lang w:val="fr-CH"/>
          </w:rPr>
          <w:t>https://gouvernement.lu/dam</w:t>
        </w:r>
        <w:r w:rsidRPr="00232D65">
          <w:rPr>
            <w:rStyle w:val="Hyperlink"/>
            <w:rFonts w:cs="Arial"/>
            <w:lang w:val="fr-CH"/>
          </w:rPr>
          <w:noBreakHyphen/>
          <w:t>assets/fr/actualites/articles/2013/09</w:t>
        </w:r>
        <w:r w:rsidRPr="00232D65">
          <w:rPr>
            <w:rStyle w:val="Hyperlink"/>
            <w:rFonts w:cs="Arial"/>
            <w:lang w:val="fr-CH"/>
          </w:rPr>
          <w:noBreakHyphen/>
          <w:t>septembre/26_reforme</w:t>
        </w:r>
        <w:r w:rsidRPr="00232D65">
          <w:rPr>
            <w:rStyle w:val="Hyperlink"/>
            <w:rFonts w:cs="Arial"/>
            <w:lang w:val="fr-CH"/>
          </w:rPr>
          <w:noBreakHyphen/>
          <w:t>psychiatrie/Communiqu___de_presse_-_R__forme_de_la_psychiatrie_et_politique_de_sant___mentale.pdf</w:t>
        </w:r>
      </w:hyperlink>
      <w:r w:rsidRPr="00D22465">
        <w:rPr>
          <w:rStyle w:val="Hyperlink"/>
          <w:rFonts w:cs="Arial"/>
          <w:color w:val="000000"/>
          <w:u w:val="none"/>
          <w:lang w:val="fr-FR"/>
        </w:rPr>
        <w:t>.</w:t>
      </w:r>
    </w:p>
  </w:footnote>
  <w:footnote w:id="78">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rPr>
        <w:t xml:space="preserve"> </w:t>
      </w:r>
      <w:r>
        <w:rPr>
          <w:rFonts w:cs="Arial"/>
        </w:rPr>
        <w:tab/>
      </w:r>
      <w:r w:rsidRPr="00B92503">
        <w:rPr>
          <w:rFonts w:cs="Arial"/>
        </w:rPr>
        <w:t xml:space="preserve">Initial report of Luxembourg implementing CRPD (2014). </w:t>
      </w:r>
      <w:hyperlink r:id="rId79" w:history="1">
        <w:r w:rsidRPr="00B92503">
          <w:rPr>
            <w:rStyle w:val="Hyperlink"/>
            <w:rFonts w:cs="Arial"/>
          </w:rPr>
          <w:t>https://tbinternet.ohchr.org/_layouts/treatybodyexternal/Download.aspx?symbolno=CRPD%2FC%2FLUX%2F1&amp;Lang=en</w:t>
        </w:r>
      </w:hyperlink>
      <w:r w:rsidRPr="00D22465">
        <w:rPr>
          <w:rStyle w:val="Hyperlink"/>
          <w:rFonts w:cs="Arial"/>
          <w:color w:val="000000"/>
          <w:u w:val="none"/>
        </w:rPr>
        <w:t>.</w:t>
      </w:r>
    </w:p>
  </w:footnote>
  <w:footnote w:id="79">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rPr>
        <w:t xml:space="preserve"> </w:t>
      </w:r>
      <w:r>
        <w:rPr>
          <w:rFonts w:cs="Arial"/>
        </w:rPr>
        <w:tab/>
      </w:r>
      <w:r w:rsidRPr="00B92503">
        <w:rPr>
          <w:rFonts w:cs="Arial"/>
        </w:rPr>
        <w:t xml:space="preserve">First national Report implementing the CRPD Luxembourg (2015) </w:t>
      </w:r>
      <w:hyperlink r:id="rId80" w:history="1">
        <w:r w:rsidRPr="00B92503">
          <w:rPr>
            <w:rStyle w:val="Hyperlink"/>
            <w:rFonts w:cs="Arial"/>
          </w:rPr>
          <w:t>https://documents-dds-ny.un.org/doc/UNDOC/GEN/G15/201/47/PDF/G1520147.pdf?OpenElement</w:t>
        </w:r>
      </w:hyperlink>
      <w:r w:rsidRPr="00D22465">
        <w:rPr>
          <w:rStyle w:val="Hyperlink"/>
          <w:rFonts w:cs="Arial"/>
          <w:color w:val="000000"/>
          <w:u w:val="none"/>
        </w:rPr>
        <w:t>.</w:t>
      </w:r>
    </w:p>
  </w:footnote>
  <w:footnote w:id="80">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rPr>
        <w:t xml:space="preserve"> </w:t>
      </w:r>
      <w:r>
        <w:rPr>
          <w:rFonts w:cs="Arial"/>
        </w:rPr>
        <w:tab/>
      </w:r>
      <w:r w:rsidRPr="00B92503">
        <w:rPr>
          <w:rFonts w:cs="Arial"/>
        </w:rPr>
        <w:t xml:space="preserve">Luxembourg ANED country report on the implementation of policies supporting independent living for disabled people. 2009 </w:t>
      </w:r>
      <w:hyperlink r:id="rId81" w:history="1">
        <w:r w:rsidRPr="00232D65">
          <w:rPr>
            <w:rStyle w:val="Hyperlink"/>
            <w:rFonts w:cs="Arial"/>
          </w:rPr>
          <w:t>https://www.disability-europe.net/downloads/460-lu-7-aned-2009-request-07-task-5-report-on-independent-living-approved-final-in-layout-to-ec</w:t>
        </w:r>
      </w:hyperlink>
      <w:r>
        <w:rPr>
          <w:rFonts w:cs="Arial"/>
        </w:rPr>
        <w:t xml:space="preserve">. </w:t>
      </w:r>
    </w:p>
  </w:footnote>
  <w:footnote w:id="81">
    <w:p w:rsidR="009E55DC" w:rsidRPr="00B92503" w:rsidRDefault="009E55DC" w:rsidP="00B92503">
      <w:pPr>
        <w:pStyle w:val="FootnoteText"/>
        <w:ind w:left="284" w:hanging="284"/>
        <w:jc w:val="left"/>
        <w:rPr>
          <w:rFonts w:cs="Arial"/>
          <w:lang w:val="de-DE"/>
        </w:rPr>
      </w:pPr>
      <w:r w:rsidRPr="00B92503">
        <w:rPr>
          <w:rStyle w:val="FootnoteReference"/>
          <w:rFonts w:cs="Arial"/>
        </w:rPr>
        <w:footnoteRef/>
      </w:r>
      <w:r w:rsidRPr="00B92503">
        <w:rPr>
          <w:rFonts w:cs="Arial"/>
          <w:lang w:val="de-DE"/>
        </w:rPr>
        <w:t xml:space="preserve"> </w:t>
      </w:r>
      <w:r>
        <w:rPr>
          <w:rFonts w:cs="Arial"/>
          <w:lang w:val="de-DE"/>
        </w:rPr>
        <w:tab/>
      </w:r>
      <w:r w:rsidRPr="00181E34">
        <w:rPr>
          <w:rFonts w:cs="Arial"/>
          <w:i/>
          <w:lang w:val="de-DE"/>
        </w:rPr>
        <w:t>Leben bei LIEWEN DOBAUSSEN</w:t>
      </w:r>
      <w:r w:rsidRPr="00B92503">
        <w:rPr>
          <w:rFonts w:cs="Arial"/>
          <w:lang w:val="de-DE"/>
        </w:rPr>
        <w:t xml:space="preserve"> </w:t>
      </w:r>
      <w:hyperlink r:id="rId82" w:history="1">
        <w:r w:rsidRPr="00B92503">
          <w:rPr>
            <w:rStyle w:val="Hyperlink"/>
            <w:rFonts w:cs="Arial"/>
            <w:lang w:val="de-DE"/>
          </w:rPr>
          <w:t>http://www.liewen-dobaussen.lu/de/links.html</w:t>
        </w:r>
      </w:hyperlink>
      <w:r w:rsidRPr="00D22465">
        <w:rPr>
          <w:rStyle w:val="Hyperlink"/>
          <w:rFonts w:cs="Arial"/>
          <w:color w:val="000000"/>
          <w:u w:val="none"/>
          <w:lang w:val="de-DE"/>
        </w:rPr>
        <w:t>.</w:t>
      </w:r>
      <w:r w:rsidRPr="00B92503">
        <w:rPr>
          <w:rFonts w:cs="Arial"/>
          <w:lang w:val="de-DE"/>
        </w:rPr>
        <w:t xml:space="preserve"> </w:t>
      </w:r>
    </w:p>
  </w:footnote>
  <w:footnote w:id="82">
    <w:p w:rsidR="009E55DC" w:rsidRPr="00D22465" w:rsidRDefault="009E55DC" w:rsidP="00B92503">
      <w:pPr>
        <w:pStyle w:val="FootnoteText"/>
        <w:ind w:left="284" w:hanging="284"/>
        <w:jc w:val="left"/>
        <w:rPr>
          <w:rFonts w:cs="Arial"/>
          <w:lang w:val="fr-FR"/>
        </w:rPr>
      </w:pPr>
      <w:r w:rsidRPr="00B92503">
        <w:rPr>
          <w:rStyle w:val="FootnoteReference"/>
          <w:rFonts w:cs="Arial"/>
        </w:rPr>
        <w:footnoteRef/>
      </w:r>
      <w:r w:rsidRPr="00B92503">
        <w:rPr>
          <w:rFonts w:cs="Arial"/>
          <w:lang w:val="fr-CH"/>
        </w:rPr>
        <w:t xml:space="preserve"> </w:t>
      </w:r>
      <w:r>
        <w:rPr>
          <w:rFonts w:cs="Arial"/>
          <w:lang w:val="fr-CH"/>
        </w:rPr>
        <w:tab/>
      </w:r>
      <w:r w:rsidRPr="00B92503">
        <w:rPr>
          <w:rFonts w:cs="Arial"/>
          <w:lang w:val="fr-CH"/>
        </w:rPr>
        <w:t xml:space="preserve">CRPD/C/LUX/Q/1 (2017) </w:t>
      </w:r>
      <w:hyperlink r:id="rId83" w:history="1">
        <w:r w:rsidRPr="00B92503">
          <w:rPr>
            <w:rStyle w:val="Hyperlink"/>
            <w:rFonts w:cs="Arial"/>
            <w:lang w:val="fr-CH"/>
          </w:rPr>
          <w:t>http://docstore.ohchr.org/SelfServices/FilesHandler.ashx?enc=6QkG1d%2FPPRiCAqhKb7yhsvP%2BdTiDrgtVuqxAW%2B69tiKIXBXKWmNQXT%2Fmo%2FEyFUOnby%2FrpQIV67BUhoNbCdpCAc7SlOMvANsJafd2PwWE94Ei7KuLj0qhi2PXCwnuevVb</w:t>
        </w:r>
      </w:hyperlink>
      <w:r w:rsidRPr="00D22465">
        <w:rPr>
          <w:rStyle w:val="Hyperlink"/>
          <w:rFonts w:cs="Arial"/>
          <w:color w:val="000000"/>
          <w:u w:val="none"/>
          <w:lang w:val="fr-FR"/>
        </w:rPr>
        <w:t>.</w:t>
      </w:r>
    </w:p>
  </w:footnote>
  <w:footnote w:id="83">
    <w:p w:rsidR="009E55DC" w:rsidRPr="00D22465"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fr-CH"/>
        </w:rPr>
        <w:t xml:space="preserve"> </w:t>
      </w:r>
      <w:r>
        <w:rPr>
          <w:rFonts w:cs="Arial"/>
          <w:lang w:val="fr-CH"/>
        </w:rPr>
        <w:tab/>
      </w:r>
      <w:r w:rsidRPr="00B92503">
        <w:rPr>
          <w:rFonts w:cs="Arial"/>
          <w:lang w:val="fr-CH"/>
        </w:rPr>
        <w:t xml:space="preserve">The draft </w:t>
      </w:r>
      <w:proofErr w:type="spellStart"/>
      <w:r w:rsidRPr="00B92503">
        <w:rPr>
          <w:rFonts w:cs="Arial"/>
          <w:lang w:val="fr-CH"/>
        </w:rPr>
        <w:t>law</w:t>
      </w:r>
      <w:proofErr w:type="spellEnd"/>
      <w:r w:rsidRPr="00B92503">
        <w:rPr>
          <w:rFonts w:cs="Arial"/>
          <w:lang w:val="fr-CH"/>
        </w:rPr>
        <w:t xml:space="preserve"> has </w:t>
      </w:r>
      <w:proofErr w:type="spellStart"/>
      <w:r w:rsidRPr="00B92503">
        <w:rPr>
          <w:rFonts w:cs="Arial"/>
          <w:lang w:val="fr-CH"/>
        </w:rPr>
        <w:t>now</w:t>
      </w:r>
      <w:proofErr w:type="spellEnd"/>
      <w:r w:rsidRPr="00B92503">
        <w:rPr>
          <w:rFonts w:cs="Arial"/>
          <w:lang w:val="fr-CH"/>
        </w:rPr>
        <w:t xml:space="preserve"> </w:t>
      </w:r>
      <w:proofErr w:type="spellStart"/>
      <w:r w:rsidRPr="00B92503">
        <w:rPr>
          <w:rFonts w:cs="Arial"/>
          <w:lang w:val="fr-CH"/>
        </w:rPr>
        <w:t>entered</w:t>
      </w:r>
      <w:proofErr w:type="spellEnd"/>
      <w:r w:rsidRPr="00B92503">
        <w:rPr>
          <w:rFonts w:cs="Arial"/>
          <w:lang w:val="fr-CH"/>
        </w:rPr>
        <w:t xml:space="preserve"> </w:t>
      </w:r>
      <w:proofErr w:type="spellStart"/>
      <w:r w:rsidRPr="00B92503">
        <w:rPr>
          <w:rFonts w:cs="Arial"/>
          <w:lang w:val="fr-CH"/>
        </w:rPr>
        <w:t>into</w:t>
      </w:r>
      <w:proofErr w:type="spellEnd"/>
      <w:r w:rsidRPr="00B92503">
        <w:rPr>
          <w:rFonts w:cs="Arial"/>
          <w:lang w:val="fr-CH"/>
        </w:rPr>
        <w:t xml:space="preserve"> force as Loi du 29 août 2017 portant modification du Code de la sécurité sociale </w:t>
      </w:r>
      <w:proofErr w:type="spellStart"/>
      <w:r w:rsidRPr="00B92503">
        <w:rPr>
          <w:rFonts w:cs="Arial"/>
          <w:lang w:val="fr-CH"/>
        </w:rPr>
        <w:t>with</w:t>
      </w:r>
      <w:proofErr w:type="spellEnd"/>
      <w:r w:rsidRPr="00B92503">
        <w:rPr>
          <w:rFonts w:cs="Arial"/>
          <w:lang w:val="fr-CH"/>
        </w:rPr>
        <w:t xml:space="preserve"> a </w:t>
      </w:r>
      <w:proofErr w:type="gramStart"/>
      <w:r w:rsidRPr="00B92503">
        <w:rPr>
          <w:rFonts w:cs="Arial"/>
          <w:lang w:val="fr-CH"/>
        </w:rPr>
        <w:t>certain caps</w:t>
      </w:r>
      <w:proofErr w:type="gramEnd"/>
      <w:r w:rsidRPr="00B92503">
        <w:rPr>
          <w:rFonts w:cs="Arial"/>
          <w:lang w:val="fr-CH"/>
        </w:rPr>
        <w:t xml:space="preserve"> of </w:t>
      </w:r>
      <w:proofErr w:type="spellStart"/>
      <w:r w:rsidRPr="00B92503">
        <w:rPr>
          <w:rFonts w:cs="Arial"/>
          <w:lang w:val="fr-CH"/>
        </w:rPr>
        <w:t>benefits</w:t>
      </w:r>
      <w:proofErr w:type="spellEnd"/>
      <w:r w:rsidRPr="00B92503">
        <w:rPr>
          <w:rFonts w:cs="Arial"/>
          <w:lang w:val="fr-CH"/>
        </w:rPr>
        <w:t xml:space="preserve"> (</w:t>
      </w:r>
      <w:r w:rsidRPr="00B92503">
        <w:rPr>
          <w:rFonts w:cs="Arial"/>
          <w:i/>
          <w:lang w:val="fr-CH"/>
        </w:rPr>
        <w:t>forfaits maximales</w:t>
      </w:r>
      <w:r w:rsidRPr="00B92503">
        <w:rPr>
          <w:rFonts w:cs="Arial"/>
          <w:lang w:val="fr-CH"/>
        </w:rPr>
        <w:t xml:space="preserve">). </w:t>
      </w:r>
      <w:hyperlink r:id="rId84" w:history="1">
        <w:r w:rsidRPr="00B92503">
          <w:rPr>
            <w:rStyle w:val="Hyperlink"/>
            <w:rFonts w:cs="Arial"/>
            <w:lang w:val="fr-CH"/>
          </w:rPr>
          <w:t>http://legilux.public.lu/eli/etat/leg/loi/2017/08/29/a778/jo</w:t>
        </w:r>
      </w:hyperlink>
      <w:r w:rsidRPr="00D22465">
        <w:rPr>
          <w:rStyle w:val="Hyperlink"/>
          <w:rFonts w:cs="Arial"/>
          <w:color w:val="000000"/>
          <w:u w:val="none"/>
          <w:lang w:val="fr-CH"/>
        </w:rPr>
        <w:t>.</w:t>
      </w:r>
    </w:p>
  </w:footnote>
  <w:footnote w:id="84">
    <w:p w:rsidR="009E55DC" w:rsidRPr="00D22465" w:rsidRDefault="009E55DC" w:rsidP="00B92503">
      <w:pPr>
        <w:pStyle w:val="FootnoteText"/>
        <w:ind w:left="284" w:hanging="284"/>
        <w:jc w:val="left"/>
        <w:rPr>
          <w:rFonts w:cs="Arial"/>
          <w:lang w:val="fr-FR"/>
        </w:rPr>
      </w:pPr>
      <w:r w:rsidRPr="00B92503">
        <w:rPr>
          <w:rStyle w:val="FootnoteReference"/>
          <w:rFonts w:cs="Arial"/>
        </w:rPr>
        <w:footnoteRef/>
      </w:r>
      <w:r w:rsidRPr="00B92503">
        <w:rPr>
          <w:rFonts w:cs="Arial"/>
          <w:lang w:val="fr-CH"/>
        </w:rPr>
        <w:t xml:space="preserve"> </w:t>
      </w:r>
      <w:r>
        <w:rPr>
          <w:rFonts w:cs="Arial"/>
          <w:lang w:val="fr-CH"/>
        </w:rPr>
        <w:tab/>
      </w:r>
      <w:r w:rsidRPr="00B92503">
        <w:rPr>
          <w:rFonts w:cs="Arial"/>
          <w:lang w:val="fr-CH"/>
        </w:rPr>
        <w:t xml:space="preserve">CCDH 2019 Commission Consultative des Droits de l'Homme (CCDH) National Human </w:t>
      </w:r>
      <w:proofErr w:type="spellStart"/>
      <w:r w:rsidRPr="00B92503">
        <w:rPr>
          <w:rFonts w:cs="Arial"/>
          <w:lang w:val="fr-CH"/>
        </w:rPr>
        <w:t>Rights</w:t>
      </w:r>
      <w:proofErr w:type="spellEnd"/>
      <w:r w:rsidRPr="00B92503">
        <w:rPr>
          <w:rFonts w:cs="Arial"/>
          <w:lang w:val="fr-CH"/>
        </w:rPr>
        <w:t xml:space="preserve"> </w:t>
      </w:r>
      <w:proofErr w:type="spellStart"/>
      <w:r w:rsidRPr="00B92503">
        <w:rPr>
          <w:rFonts w:cs="Arial"/>
          <w:lang w:val="fr-CH"/>
        </w:rPr>
        <w:t>Observatory</w:t>
      </w:r>
      <w:proofErr w:type="spellEnd"/>
      <w:r w:rsidRPr="00B92503">
        <w:rPr>
          <w:rFonts w:cs="Arial"/>
          <w:lang w:val="fr-CH"/>
        </w:rPr>
        <w:t xml:space="preserve"> Luxembourg </w:t>
      </w:r>
      <w:hyperlink r:id="rId85" w:history="1">
        <w:r w:rsidRPr="00B92503">
          <w:rPr>
            <w:rStyle w:val="Hyperlink"/>
            <w:rFonts w:cs="Arial"/>
            <w:lang w:val="fr-CH"/>
          </w:rPr>
          <w:t>https://ccdh.public.lu/fr/avis.html</w:t>
        </w:r>
      </w:hyperlink>
      <w:r w:rsidRPr="00D22465">
        <w:rPr>
          <w:rStyle w:val="Hyperlink"/>
          <w:rFonts w:cs="Arial"/>
          <w:color w:val="000000"/>
          <w:u w:val="none"/>
          <w:lang w:val="fr-FR"/>
        </w:rPr>
        <w:t>.</w:t>
      </w:r>
    </w:p>
  </w:footnote>
  <w:footnote w:id="85">
    <w:p w:rsidR="009E55DC" w:rsidRPr="00D22465" w:rsidRDefault="009E55DC" w:rsidP="00B92503">
      <w:pPr>
        <w:pStyle w:val="FootnoteText"/>
        <w:ind w:left="284" w:hanging="284"/>
        <w:jc w:val="left"/>
        <w:rPr>
          <w:rFonts w:cs="Arial"/>
          <w:lang w:val="de-DE"/>
        </w:rPr>
      </w:pPr>
      <w:r w:rsidRPr="00B92503">
        <w:rPr>
          <w:rStyle w:val="FootnoteReference"/>
          <w:rFonts w:cs="Arial"/>
        </w:rPr>
        <w:footnoteRef/>
      </w:r>
      <w:r w:rsidRPr="00B92503">
        <w:rPr>
          <w:rFonts w:cs="Arial"/>
          <w:lang w:val="de-DE"/>
        </w:rPr>
        <w:t xml:space="preserve"> </w:t>
      </w:r>
      <w:r>
        <w:rPr>
          <w:rFonts w:cs="Arial"/>
          <w:lang w:val="de-DE"/>
        </w:rPr>
        <w:tab/>
      </w:r>
      <w:r w:rsidRPr="00B92503">
        <w:rPr>
          <w:rFonts w:cs="Arial"/>
          <w:lang w:val="de-DE"/>
        </w:rPr>
        <w:t xml:space="preserve">CCDH 2018 Reflexionsdokument Rechte von Menschen mit Behinderungen Institutionenlandschaft im Bereich der Rechte von Menschen mit Behinderungen (Human rights observatory statement on Rights of Persons with disabilities in institutionions and care facilities </w:t>
      </w:r>
      <w:hyperlink r:id="rId86" w:history="1">
        <w:r w:rsidRPr="00B92503">
          <w:rPr>
            <w:rStyle w:val="Hyperlink"/>
            <w:rFonts w:cs="Arial"/>
            <w:lang w:val="de-DE"/>
          </w:rPr>
          <w:t>https://ccdh.public.lu/dam-assets/fr/avis/2018/6-institutionenlandschaft-menschen-mit-behinderung.pdf</w:t>
        </w:r>
      </w:hyperlink>
      <w:r w:rsidRPr="00D22465">
        <w:rPr>
          <w:rStyle w:val="Hyperlink"/>
          <w:rFonts w:cs="Arial"/>
          <w:color w:val="000000"/>
          <w:u w:val="none"/>
          <w:lang w:val="de-DE"/>
        </w:rPr>
        <w:t>.</w:t>
      </w:r>
    </w:p>
  </w:footnote>
  <w:footnote w:id="86">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lang w:val="en-US"/>
        </w:rPr>
        <w:t xml:space="preserve"> </w:t>
      </w:r>
      <w:r>
        <w:rPr>
          <w:rFonts w:cs="Arial"/>
          <w:lang w:val="en-US"/>
        </w:rPr>
        <w:tab/>
      </w:r>
      <w:r w:rsidRPr="00B92503">
        <w:rPr>
          <w:rFonts w:cs="Arial"/>
          <w:lang w:val="en-US"/>
        </w:rPr>
        <w:t xml:space="preserve">CCDH 2016 Empowerment meeting </w:t>
      </w:r>
      <w:hyperlink r:id="rId87" w:history="1">
        <w:r w:rsidRPr="00B92503">
          <w:rPr>
            <w:rStyle w:val="Hyperlink"/>
            <w:rFonts w:cs="Arial"/>
            <w:lang w:val="en-US"/>
          </w:rPr>
          <w:t>https://ccdh.public.lu/dam-assets/fr/publications/Droits-des-personnes-handicapees/Empowerment-3-Brochure.pdf</w:t>
        </w:r>
      </w:hyperlink>
      <w:r w:rsidRPr="00D22465">
        <w:rPr>
          <w:rStyle w:val="Hyperlink"/>
          <w:rFonts w:cs="Arial"/>
          <w:color w:val="000000"/>
          <w:u w:val="none"/>
        </w:rPr>
        <w:t>.</w:t>
      </w:r>
    </w:p>
  </w:footnote>
  <w:footnote w:id="87">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fr-CH"/>
        </w:rPr>
        <w:t xml:space="preserve"> </w:t>
      </w:r>
      <w:r>
        <w:rPr>
          <w:rFonts w:cs="Arial"/>
          <w:lang w:val="fr-CH"/>
        </w:rPr>
        <w:tab/>
      </w:r>
      <w:r w:rsidRPr="00B92503">
        <w:rPr>
          <w:rFonts w:cs="Arial"/>
          <w:lang w:val="fr-CH"/>
        </w:rPr>
        <w:t xml:space="preserve">Trisomie 21 </w:t>
      </w:r>
      <w:proofErr w:type="spellStart"/>
      <w:r w:rsidRPr="00B92503">
        <w:rPr>
          <w:rFonts w:cs="Arial"/>
          <w:lang w:val="fr-CH"/>
        </w:rPr>
        <w:t>Letzebuerg</w:t>
      </w:r>
      <w:proofErr w:type="spellEnd"/>
      <w:r w:rsidRPr="00B92503">
        <w:rPr>
          <w:rFonts w:cs="Arial"/>
          <w:lang w:val="fr-CH"/>
        </w:rPr>
        <w:t xml:space="preserve"> (association on </w:t>
      </w:r>
      <w:proofErr w:type="spellStart"/>
      <w:r w:rsidRPr="00B92503">
        <w:rPr>
          <w:rFonts w:cs="Arial"/>
          <w:lang w:val="fr-CH"/>
        </w:rPr>
        <w:t>Down’s</w:t>
      </w:r>
      <w:proofErr w:type="spellEnd"/>
      <w:r w:rsidRPr="00B92503">
        <w:rPr>
          <w:rFonts w:cs="Arial"/>
          <w:lang w:val="fr-CH"/>
        </w:rPr>
        <w:t xml:space="preserve"> Syndrome Luxembourg) </w:t>
      </w:r>
      <w:hyperlink r:id="rId88" w:history="1">
        <w:r w:rsidRPr="00B92503">
          <w:rPr>
            <w:rStyle w:val="Hyperlink"/>
            <w:rFonts w:cs="Arial"/>
            <w:lang w:val="fr-CH"/>
          </w:rPr>
          <w:t>http://www.trisomie21.lu</w:t>
        </w:r>
      </w:hyperlink>
      <w:r w:rsidRPr="00D22465">
        <w:rPr>
          <w:rStyle w:val="Hyperlink"/>
          <w:rFonts w:cs="Arial"/>
          <w:color w:val="000000"/>
          <w:u w:val="none"/>
          <w:lang w:val="fr-FR"/>
        </w:rPr>
        <w:t>.</w:t>
      </w:r>
      <w:r w:rsidRPr="00B92503">
        <w:rPr>
          <w:rFonts w:cs="Arial"/>
          <w:lang w:val="fr-CH"/>
        </w:rPr>
        <w:t xml:space="preserve"> </w:t>
      </w:r>
    </w:p>
  </w:footnote>
  <w:footnote w:id="88">
    <w:p w:rsidR="009E55DC" w:rsidRPr="00B92503" w:rsidRDefault="009E55DC" w:rsidP="00B92503">
      <w:pPr>
        <w:pStyle w:val="FootnoteText"/>
        <w:ind w:left="284" w:hanging="284"/>
        <w:jc w:val="left"/>
        <w:rPr>
          <w:rFonts w:cs="Arial"/>
          <w:lang w:val="de-DE"/>
        </w:rPr>
      </w:pPr>
      <w:r w:rsidRPr="00B92503">
        <w:rPr>
          <w:rStyle w:val="FootnoteReference"/>
          <w:rFonts w:cs="Arial"/>
        </w:rPr>
        <w:footnoteRef/>
      </w:r>
      <w:r w:rsidRPr="00B92503">
        <w:rPr>
          <w:rFonts w:cs="Arial"/>
          <w:lang w:val="de-DE"/>
        </w:rPr>
        <w:t xml:space="preserve"> </w:t>
      </w:r>
      <w:r>
        <w:rPr>
          <w:rFonts w:cs="Arial"/>
          <w:lang w:val="de-DE"/>
        </w:rPr>
        <w:tab/>
      </w:r>
      <w:r w:rsidRPr="00B92503">
        <w:rPr>
          <w:rFonts w:cs="Arial"/>
          <w:lang w:val="de-DE"/>
        </w:rPr>
        <w:t>Tageblatt Luxemburg 03 May 2018,</w:t>
      </w:r>
      <w:r>
        <w:rPr>
          <w:rFonts w:cs="Arial"/>
          <w:lang w:val="de-DE"/>
        </w:rPr>
        <w:t xml:space="preserve"> </w:t>
      </w:r>
      <w:r w:rsidRPr="00B92503">
        <w:rPr>
          <w:rFonts w:cs="Arial"/>
          <w:lang w:val="de-DE"/>
        </w:rPr>
        <w:t>p.</w:t>
      </w:r>
      <w:r>
        <w:rPr>
          <w:rFonts w:cs="Arial"/>
          <w:lang w:val="de-DE"/>
        </w:rPr>
        <w:t xml:space="preserve"> </w:t>
      </w:r>
      <w:r w:rsidRPr="00B92503">
        <w:rPr>
          <w:rFonts w:cs="Arial"/>
          <w:lang w:val="de-DE"/>
        </w:rPr>
        <w:t>34) Trisomie 21 Lücken auf dem Wohnungs und Arbeitsmarkt.</w:t>
      </w:r>
    </w:p>
  </w:footnote>
  <w:footnote w:id="89">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rPr>
        <w:t xml:space="preserve"> </w:t>
      </w:r>
      <w:r>
        <w:rPr>
          <w:rFonts w:cs="Arial"/>
        </w:rPr>
        <w:tab/>
      </w:r>
      <w:r w:rsidRPr="00B92503">
        <w:rPr>
          <w:rFonts w:cs="Arial"/>
        </w:rPr>
        <w:t xml:space="preserve">Shadow Report on Implementation of the United Nations Convention on the Rights of Persons with Disabilities Luxembourg 2016. </w:t>
      </w:r>
      <w:hyperlink r:id="rId89" w:history="1">
        <w:r w:rsidRPr="00B92503">
          <w:rPr>
            <w:rStyle w:val="Hyperlink"/>
            <w:rFonts w:cs="Arial"/>
          </w:rPr>
          <w:t>https://tbinternet.ohchr.org/_layouts/treatybodyexternal/Download.aspx?symbolno=INT%2fCRPD%2fCSS%2fLUX%2f26160&amp;Lang=en</w:t>
        </w:r>
      </w:hyperlink>
      <w:r w:rsidR="002A7B5C">
        <w:rPr>
          <w:rStyle w:val="Hyperlink"/>
          <w:rFonts w:cs="Arial"/>
          <w:u w:val="none"/>
        </w:rPr>
        <w:t>.</w:t>
      </w:r>
      <w:r w:rsidRPr="00B92503">
        <w:rPr>
          <w:rFonts w:cs="Arial"/>
        </w:rPr>
        <w:t xml:space="preserve"> </w:t>
      </w:r>
    </w:p>
  </w:footnote>
  <w:footnote w:id="90">
    <w:p w:rsidR="009E55DC" w:rsidRPr="00D22465" w:rsidRDefault="009E55DC" w:rsidP="00B92503">
      <w:pPr>
        <w:pStyle w:val="FootnoteText"/>
        <w:ind w:left="284" w:hanging="284"/>
        <w:jc w:val="left"/>
        <w:rPr>
          <w:rFonts w:cs="Arial"/>
          <w:lang w:val="fr-FR"/>
        </w:rPr>
      </w:pPr>
      <w:r w:rsidRPr="00B92503">
        <w:rPr>
          <w:rStyle w:val="FootnoteReference"/>
          <w:rFonts w:cs="Arial"/>
        </w:rPr>
        <w:footnoteRef/>
      </w:r>
      <w:r w:rsidRPr="00B92503">
        <w:rPr>
          <w:rFonts w:cs="Arial"/>
          <w:lang w:val="fr-CH"/>
        </w:rPr>
        <w:t xml:space="preserve"> </w:t>
      </w:r>
      <w:r>
        <w:rPr>
          <w:rFonts w:cs="Arial"/>
          <w:lang w:val="fr-CH"/>
        </w:rPr>
        <w:tab/>
      </w:r>
      <w:r w:rsidRPr="00B92503">
        <w:rPr>
          <w:rFonts w:cs="Arial"/>
          <w:lang w:val="fr-CH"/>
        </w:rPr>
        <w:t xml:space="preserve">Caritas Cares Luxembourg Report (2015) </w:t>
      </w:r>
      <w:hyperlink r:id="rId90" w:history="1">
        <w:r w:rsidRPr="00232D65">
          <w:rPr>
            <w:rStyle w:val="Hyperlink"/>
            <w:rFonts w:cs="Arial"/>
            <w:lang w:val="fr-CH"/>
          </w:rPr>
          <w:t>https://www.caritas.eu/wordpress/wp</w:t>
        </w:r>
        <w:r w:rsidRPr="00232D65">
          <w:rPr>
            <w:rStyle w:val="Hyperlink"/>
            <w:rFonts w:cs="Arial"/>
            <w:lang w:val="fr-CH"/>
          </w:rPr>
          <w:noBreakHyphen/>
          <w:t>content/uploads/2018/11/20171109-PU-Caritas-cares-youth-poverty-country-report-luxembourg.pdf</w:t>
        </w:r>
      </w:hyperlink>
      <w:r w:rsidRPr="00D22465">
        <w:rPr>
          <w:rStyle w:val="Hyperlink"/>
          <w:rFonts w:cs="Arial"/>
          <w:color w:val="000000"/>
          <w:u w:val="none"/>
          <w:lang w:val="fr-FR"/>
        </w:rPr>
        <w:t>.</w:t>
      </w:r>
    </w:p>
  </w:footnote>
  <w:footnote w:id="91">
    <w:p w:rsidR="009E55DC" w:rsidRPr="00D22465" w:rsidRDefault="009E55DC" w:rsidP="00B92503">
      <w:pPr>
        <w:pStyle w:val="FootnoteText"/>
        <w:ind w:left="284" w:hanging="284"/>
        <w:jc w:val="left"/>
        <w:rPr>
          <w:rFonts w:cs="Arial"/>
          <w:lang w:val="fr-FR"/>
        </w:rPr>
      </w:pPr>
      <w:r w:rsidRPr="00B92503">
        <w:rPr>
          <w:rStyle w:val="FootnoteReference"/>
          <w:rFonts w:cs="Arial"/>
        </w:rPr>
        <w:footnoteRef/>
      </w:r>
      <w:r w:rsidRPr="00B92503">
        <w:rPr>
          <w:rFonts w:cs="Arial"/>
          <w:lang w:val="fr-CH"/>
        </w:rPr>
        <w:t xml:space="preserve"> </w:t>
      </w:r>
      <w:r>
        <w:rPr>
          <w:rFonts w:cs="Arial"/>
          <w:lang w:val="fr-CH"/>
        </w:rPr>
        <w:tab/>
      </w:r>
      <w:r w:rsidRPr="00B92503">
        <w:rPr>
          <w:rFonts w:cs="Arial"/>
          <w:lang w:val="fr-CH"/>
        </w:rPr>
        <w:t xml:space="preserve">Caritas Report (2017) </w:t>
      </w:r>
      <w:hyperlink r:id="rId91" w:history="1">
        <w:r w:rsidRPr="00B92503">
          <w:rPr>
            <w:rStyle w:val="Hyperlink"/>
            <w:rFonts w:cs="Arial"/>
            <w:lang w:val="fr-CH"/>
          </w:rPr>
          <w:t>https://www.caritas.eu/wordpress/wp-content/uploads/2018/11/20171109-PU-Caritas-cares-youth-poverty-country-report-luxembourg.pdf</w:t>
        </w:r>
      </w:hyperlink>
      <w:r w:rsidRPr="00D22465">
        <w:rPr>
          <w:rStyle w:val="Hyperlink"/>
          <w:rFonts w:cs="Arial"/>
          <w:color w:val="000000"/>
          <w:u w:val="none"/>
          <w:lang w:val="fr-FR"/>
        </w:rPr>
        <w:t>.</w:t>
      </w:r>
    </w:p>
  </w:footnote>
  <w:footnote w:id="92">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rPr>
        <w:t xml:space="preserve"> </w:t>
      </w:r>
      <w:r>
        <w:rPr>
          <w:rFonts w:cs="Arial"/>
        </w:rPr>
        <w:tab/>
      </w:r>
      <w:r w:rsidRPr="00B92503">
        <w:rPr>
          <w:rFonts w:cs="Arial"/>
        </w:rPr>
        <w:t xml:space="preserve">Compulsory Admission and Involuntary Treatment of Mentally Ill Patients – Legislation and Practice in EU-Member States Research Project - Grant Agreement No. SI2.254882 (2000CVF3-407) Mannheim, Germany, May 15, 2002 </w:t>
      </w:r>
      <w:hyperlink r:id="rId92" w:history="1">
        <w:r w:rsidRPr="00232D65">
          <w:rPr>
            <w:rStyle w:val="Hyperlink"/>
            <w:rFonts w:cs="Arial"/>
          </w:rPr>
          <w:t>http://ec.europa.eu/health/ph_projects/2000/promotion/fp_promotion_2000_frep_08_en.pdf</w:t>
        </w:r>
      </w:hyperlink>
      <w:r w:rsidRPr="00D22465">
        <w:rPr>
          <w:rStyle w:val="Hyperlink"/>
          <w:rFonts w:cs="Arial"/>
          <w:color w:val="000000"/>
          <w:u w:val="none"/>
        </w:rPr>
        <w:t>.</w:t>
      </w:r>
    </w:p>
  </w:footnote>
  <w:footnote w:id="93">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F92E05">
        <w:rPr>
          <w:rFonts w:cs="Arial"/>
          <w:lang w:val="de-DE"/>
        </w:rPr>
        <w:t xml:space="preserve"> </w:t>
      </w:r>
      <w:r>
        <w:rPr>
          <w:rFonts w:cs="Arial"/>
          <w:lang w:val="de-DE"/>
        </w:rPr>
        <w:tab/>
      </w:r>
      <w:r w:rsidRPr="00F92E05">
        <w:rPr>
          <w:rFonts w:cs="Arial"/>
          <w:lang w:val="de-DE"/>
        </w:rPr>
        <w:t xml:space="preserve">Beadle-Brown, Julie &amp; Kozma, Agnes (2007). </w:t>
      </w:r>
      <w:r w:rsidRPr="00B92503">
        <w:rPr>
          <w:rFonts w:cs="Arial"/>
        </w:rPr>
        <w:t xml:space="preserve">Deinstitutionalisation and community living – outcomes and costs: report of a European Study. Volume 3: Country Reports. Canterbury: Tizard Centre, University of Kent, 360-377. </w:t>
      </w:r>
      <w:hyperlink r:id="rId93" w:history="1">
        <w:r w:rsidRPr="00B92503">
          <w:rPr>
            <w:rStyle w:val="Hyperlink"/>
            <w:rFonts w:cs="Arial"/>
          </w:rPr>
          <w:t>https://www.kent.ac.uk/tizard/research/DECL_network/documents/DECLOC_Country_Reports.pdf</w:t>
        </w:r>
      </w:hyperlink>
      <w:r w:rsidRPr="00D22465">
        <w:rPr>
          <w:rStyle w:val="Hyperlink"/>
          <w:rFonts w:cs="Arial"/>
          <w:color w:val="000000"/>
          <w:u w:val="none"/>
        </w:rPr>
        <w:t>.</w:t>
      </w:r>
    </w:p>
  </w:footnote>
  <w:footnote w:id="94">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rPr>
        <w:t xml:space="preserve"> </w:t>
      </w:r>
      <w:r>
        <w:rPr>
          <w:rFonts w:cs="Arial"/>
        </w:rPr>
        <w:tab/>
      </w:r>
      <w:proofErr w:type="spellStart"/>
      <w:r w:rsidRPr="00B92503">
        <w:rPr>
          <w:rFonts w:cs="Arial"/>
        </w:rPr>
        <w:t>Salize</w:t>
      </w:r>
      <w:proofErr w:type="spellEnd"/>
      <w:r w:rsidRPr="00B92503">
        <w:rPr>
          <w:rFonts w:cs="Arial"/>
        </w:rPr>
        <w:t xml:space="preserve">, H., &amp; Dressing, H. (2004). Epidemiology of involuntary placement of mentally ill people across the European Union. British Journal of Psychiatry, 184(2), 163-168. doi:10.1192/bjp.184.2.163. </w:t>
      </w:r>
      <w:hyperlink r:id="rId94" w:history="1">
        <w:r w:rsidRPr="00B92503">
          <w:rPr>
            <w:rStyle w:val="Hyperlink"/>
            <w:rFonts w:cs="Arial"/>
          </w:rPr>
          <w:t>https://www.cambridge.org/core/journals/the-british-journal-of-psychiatry/article/epidemiology-of-involuntary-placement-of-mentally-ill-people-across-the-european-union/3903619595BAD8A9FDEC6A49AACA7D4A</w:t>
        </w:r>
      </w:hyperlink>
      <w:r w:rsidRPr="00D22465">
        <w:rPr>
          <w:rStyle w:val="Hyperlink"/>
          <w:rFonts w:cs="Arial"/>
          <w:color w:val="000000"/>
          <w:u w:val="none"/>
        </w:rPr>
        <w:t>.</w:t>
      </w:r>
    </w:p>
  </w:footnote>
  <w:footnote w:id="95">
    <w:p w:rsidR="009E55DC" w:rsidRPr="00D22465" w:rsidRDefault="009E55DC" w:rsidP="00B92503">
      <w:pPr>
        <w:pStyle w:val="FootnoteText"/>
        <w:ind w:left="284" w:hanging="284"/>
        <w:jc w:val="left"/>
        <w:rPr>
          <w:rFonts w:cs="Arial"/>
          <w:lang w:val="fr-FR"/>
        </w:rPr>
      </w:pPr>
      <w:r w:rsidRPr="00B92503">
        <w:rPr>
          <w:rStyle w:val="FootnoteReference"/>
          <w:rFonts w:cs="Arial"/>
        </w:rPr>
        <w:footnoteRef/>
      </w:r>
      <w:r w:rsidRPr="00B92503">
        <w:rPr>
          <w:rFonts w:cs="Arial"/>
          <w:lang w:val="fr-CH"/>
        </w:rPr>
        <w:t xml:space="preserve"> </w:t>
      </w:r>
      <w:r>
        <w:rPr>
          <w:rFonts w:cs="Arial"/>
          <w:lang w:val="fr-CH"/>
        </w:rPr>
        <w:tab/>
      </w:r>
      <w:r w:rsidRPr="00B92503">
        <w:rPr>
          <w:rFonts w:cs="Arial"/>
          <w:lang w:val="fr-CH"/>
        </w:rPr>
        <w:t xml:space="preserve">Psychiatrie Report Luxembourg (2013) </w:t>
      </w:r>
      <w:proofErr w:type="spellStart"/>
      <w:r w:rsidRPr="00A479A2">
        <w:rPr>
          <w:rFonts w:cs="Arial"/>
          <w:i/>
          <w:lang w:val="fr-CH"/>
        </w:rPr>
        <w:t>Réforme</w:t>
      </w:r>
      <w:proofErr w:type="spellEnd"/>
      <w:r w:rsidRPr="00A479A2">
        <w:rPr>
          <w:rFonts w:cs="Arial"/>
          <w:i/>
          <w:lang w:val="fr-CH"/>
        </w:rPr>
        <w:t xml:space="preserve"> de la psychiatrie et politique de santé mentale</w:t>
      </w:r>
      <w:r w:rsidRPr="00B92503">
        <w:rPr>
          <w:rFonts w:cs="Arial"/>
          <w:lang w:val="fr-CH"/>
        </w:rPr>
        <w:t xml:space="preserve"> </w:t>
      </w:r>
      <w:hyperlink r:id="rId95" w:history="1">
        <w:r w:rsidRPr="00B92503">
          <w:rPr>
            <w:rStyle w:val="Hyperlink"/>
            <w:rFonts w:cs="Arial"/>
            <w:lang w:val="fr-CH"/>
          </w:rPr>
          <w:t>http://www.copas.lu/wp-content/uploads/reforme-psychiatrie-politique-sante-mentale-2013.pdf</w:t>
        </w:r>
      </w:hyperlink>
      <w:r w:rsidRPr="00D22465">
        <w:rPr>
          <w:rStyle w:val="Hyperlink"/>
          <w:rFonts w:cs="Arial"/>
          <w:color w:val="000000"/>
          <w:u w:val="none"/>
          <w:lang w:val="fr-FR"/>
        </w:rPr>
        <w:t>.</w:t>
      </w:r>
    </w:p>
  </w:footnote>
  <w:footnote w:id="96">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rPr>
        <w:t xml:space="preserve"> </w:t>
      </w:r>
      <w:r>
        <w:rPr>
          <w:rFonts w:cs="Arial"/>
        </w:rPr>
        <w:tab/>
        <w:t>S</w:t>
      </w:r>
      <w:r w:rsidRPr="00B92503">
        <w:rPr>
          <w:rFonts w:cs="Arial"/>
        </w:rPr>
        <w:t>ee prior ANED reports (2009 and 2011)</w:t>
      </w:r>
      <w:r>
        <w:rPr>
          <w:rFonts w:cs="Arial"/>
        </w:rPr>
        <w:t>.</w:t>
      </w:r>
    </w:p>
  </w:footnote>
  <w:footnote w:id="97">
    <w:p w:rsidR="009E55DC" w:rsidRPr="00D22465"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fr-CH"/>
        </w:rPr>
        <w:t xml:space="preserve"> </w:t>
      </w:r>
      <w:r>
        <w:rPr>
          <w:rFonts w:cs="Arial"/>
          <w:lang w:val="fr-CH"/>
        </w:rPr>
        <w:tab/>
      </w:r>
      <w:r w:rsidRPr="00B92503">
        <w:rPr>
          <w:rFonts w:cs="Arial"/>
          <w:lang w:val="fr-CH"/>
        </w:rPr>
        <w:t>Réseau Psy, trente ans de sourires</w:t>
      </w:r>
      <w:r>
        <w:rPr>
          <w:rFonts w:cs="Arial"/>
          <w:lang w:val="fr-CH"/>
        </w:rPr>
        <w:t xml:space="preserve"> </w:t>
      </w:r>
      <w:r w:rsidRPr="00B92503">
        <w:rPr>
          <w:rFonts w:cs="Arial"/>
          <w:lang w:val="fr-CH"/>
        </w:rPr>
        <w:t>(</w:t>
      </w:r>
      <w:proofErr w:type="spellStart"/>
      <w:r w:rsidRPr="005C6E68">
        <w:rPr>
          <w:rFonts w:cs="Arial"/>
          <w:i/>
          <w:lang w:val="fr-CH"/>
        </w:rPr>
        <w:t>Luxemburger</w:t>
      </w:r>
      <w:proofErr w:type="spellEnd"/>
      <w:r w:rsidRPr="005C6E68">
        <w:rPr>
          <w:rFonts w:cs="Arial"/>
          <w:i/>
          <w:lang w:val="fr-CH"/>
        </w:rPr>
        <w:t xml:space="preserve"> </w:t>
      </w:r>
      <w:proofErr w:type="spellStart"/>
      <w:r w:rsidRPr="005C6E68">
        <w:rPr>
          <w:rFonts w:cs="Arial"/>
          <w:i/>
          <w:lang w:val="fr-CH"/>
        </w:rPr>
        <w:t>Wort</w:t>
      </w:r>
      <w:proofErr w:type="spellEnd"/>
      <w:r w:rsidRPr="00B92503">
        <w:rPr>
          <w:rFonts w:cs="Arial"/>
          <w:lang w:val="fr-CH"/>
        </w:rPr>
        <w:t xml:space="preserve"> 21.05. 2018</w:t>
      </w:r>
      <w:r>
        <w:rPr>
          <w:rFonts w:cs="Arial"/>
          <w:lang w:val="fr-CH"/>
        </w:rPr>
        <w:t>)</w:t>
      </w:r>
      <w:r w:rsidRPr="00B92503">
        <w:rPr>
          <w:rFonts w:cs="Arial"/>
          <w:lang w:val="fr-CH"/>
        </w:rPr>
        <w:t xml:space="preserve"> </w:t>
      </w:r>
      <w:hyperlink r:id="rId96" w:history="1">
        <w:r w:rsidRPr="00B92503">
          <w:rPr>
            <w:rStyle w:val="Hyperlink"/>
            <w:rFonts w:cs="Arial"/>
            <w:lang w:val="fr-CH"/>
          </w:rPr>
          <w:t>https://www.wort.lu/de/lokales/reseau-psy-trente-ans-de-sourires-5b02e6f8c1097cee25b89bb4</w:t>
        </w:r>
      </w:hyperlink>
      <w:r w:rsidRPr="00D22465">
        <w:rPr>
          <w:rStyle w:val="Hyperlink"/>
          <w:rFonts w:cs="Arial"/>
          <w:color w:val="000000"/>
          <w:u w:val="none"/>
          <w:lang w:val="fr-CH"/>
        </w:rPr>
        <w:t>.</w:t>
      </w:r>
    </w:p>
  </w:footnote>
  <w:footnote w:id="98">
    <w:p w:rsidR="009E55DC" w:rsidRPr="00D22465" w:rsidRDefault="009E55DC" w:rsidP="00B92503">
      <w:pPr>
        <w:pStyle w:val="FootnoteText"/>
        <w:ind w:left="284" w:hanging="284"/>
        <w:jc w:val="left"/>
        <w:rPr>
          <w:rFonts w:cs="Arial"/>
          <w:lang w:val="fr-FR"/>
        </w:rPr>
      </w:pPr>
      <w:r w:rsidRPr="00B92503">
        <w:rPr>
          <w:rStyle w:val="FootnoteReference"/>
          <w:rFonts w:cs="Arial"/>
        </w:rPr>
        <w:footnoteRef/>
      </w:r>
      <w:r w:rsidRPr="00B92503">
        <w:rPr>
          <w:rFonts w:cs="Arial"/>
          <w:lang w:val="fr-CH"/>
        </w:rPr>
        <w:t xml:space="preserve"> </w:t>
      </w:r>
      <w:r>
        <w:rPr>
          <w:rFonts w:cs="Arial"/>
          <w:lang w:val="fr-CH"/>
        </w:rPr>
        <w:tab/>
      </w:r>
      <w:r w:rsidRPr="00B92503">
        <w:rPr>
          <w:rFonts w:cs="Arial"/>
          <w:lang w:val="fr-CH"/>
        </w:rPr>
        <w:t xml:space="preserve">Assurance Dépendance </w:t>
      </w:r>
      <w:hyperlink r:id="rId97" w:history="1">
        <w:r w:rsidRPr="00B92503">
          <w:rPr>
            <w:rStyle w:val="Hyperlink"/>
            <w:rFonts w:cs="Arial"/>
            <w:lang w:val="fr-CH"/>
          </w:rPr>
          <w:t>http://www.mss.public.lu/dependance/</w:t>
        </w:r>
      </w:hyperlink>
      <w:r w:rsidRPr="00D22465">
        <w:rPr>
          <w:rStyle w:val="Hyperlink"/>
          <w:rFonts w:cs="Arial"/>
          <w:color w:val="000000"/>
          <w:u w:val="none"/>
          <w:lang w:val="fr-FR"/>
        </w:rPr>
        <w:t>.</w:t>
      </w:r>
    </w:p>
  </w:footnote>
  <w:footnote w:id="99">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lang w:val="en-US"/>
        </w:rPr>
        <w:t xml:space="preserve"> </w:t>
      </w:r>
      <w:r>
        <w:rPr>
          <w:rFonts w:cs="Arial"/>
          <w:lang w:val="en-US"/>
        </w:rPr>
        <w:tab/>
      </w:r>
      <w:proofErr w:type="spellStart"/>
      <w:r w:rsidRPr="00B92503">
        <w:rPr>
          <w:rFonts w:cs="Arial"/>
          <w:lang w:val="en-US"/>
        </w:rPr>
        <w:t>Nemme</w:t>
      </w:r>
      <w:proofErr w:type="spellEnd"/>
      <w:r w:rsidRPr="00B92503">
        <w:rPr>
          <w:rFonts w:cs="Arial"/>
          <w:lang w:val="en-US"/>
        </w:rPr>
        <w:t xml:space="preserve"> mat </w:t>
      </w:r>
      <w:proofErr w:type="spellStart"/>
      <w:r w:rsidRPr="00B92503">
        <w:rPr>
          <w:rFonts w:cs="Arial"/>
          <w:lang w:val="en-US"/>
        </w:rPr>
        <w:t>Eis</w:t>
      </w:r>
      <w:proofErr w:type="spellEnd"/>
      <w:r w:rsidRPr="00B92503">
        <w:rPr>
          <w:rFonts w:cs="Arial"/>
          <w:lang w:val="en-US"/>
        </w:rPr>
        <w:t xml:space="preserve"> (Nothing about us without us) </w:t>
      </w:r>
      <w:hyperlink r:id="rId98" w:history="1">
        <w:r w:rsidRPr="00B92503">
          <w:rPr>
            <w:rStyle w:val="Hyperlink"/>
            <w:rFonts w:cs="Arial"/>
            <w:lang w:val="en-US"/>
          </w:rPr>
          <w:t>http://www.nemmemateis.lu/online/www/func/news/DEU/index.html</w:t>
        </w:r>
      </w:hyperlink>
      <w:r w:rsidRPr="00D22465">
        <w:rPr>
          <w:rStyle w:val="Hyperlink"/>
          <w:rFonts w:cs="Arial"/>
          <w:color w:val="000000"/>
          <w:u w:val="none"/>
        </w:rPr>
        <w:t>.</w:t>
      </w:r>
    </w:p>
  </w:footnote>
  <w:footnote w:id="100">
    <w:p w:rsidR="009E55DC" w:rsidRPr="00D22465" w:rsidRDefault="009E55DC" w:rsidP="00B92503">
      <w:pPr>
        <w:pStyle w:val="FootnoteText"/>
        <w:ind w:left="284" w:hanging="284"/>
        <w:jc w:val="left"/>
        <w:rPr>
          <w:rFonts w:cs="Arial"/>
          <w:lang w:val="fr-FR"/>
        </w:rPr>
      </w:pPr>
      <w:r w:rsidRPr="00B92503">
        <w:rPr>
          <w:rStyle w:val="FootnoteReference"/>
          <w:rFonts w:cs="Arial"/>
        </w:rPr>
        <w:footnoteRef/>
      </w:r>
      <w:r w:rsidRPr="00B92503">
        <w:rPr>
          <w:rFonts w:cs="Arial"/>
          <w:lang w:val="fr-CH"/>
        </w:rPr>
        <w:t xml:space="preserve"> </w:t>
      </w:r>
      <w:r>
        <w:rPr>
          <w:rFonts w:cs="Arial"/>
          <w:lang w:val="fr-CH"/>
        </w:rPr>
        <w:tab/>
      </w:r>
      <w:r w:rsidRPr="00B92503">
        <w:rPr>
          <w:rFonts w:cs="Arial"/>
          <w:lang w:val="fr-CH"/>
        </w:rPr>
        <w:t xml:space="preserve">Guide des Normes 2000 </w:t>
      </w:r>
      <w:hyperlink r:id="rId99" w:history="1">
        <w:r w:rsidRPr="00B92503">
          <w:rPr>
            <w:rStyle w:val="Hyperlink"/>
            <w:rFonts w:cs="Arial"/>
            <w:lang w:val="fr-CH"/>
          </w:rPr>
          <w:t>https://mfamigr.gouvernement.lu/fr/publications/guide-manuel/minist-famille-integration-grande-region/guide-normes-accessibilite.html</w:t>
        </w:r>
      </w:hyperlink>
      <w:r w:rsidRPr="00D22465">
        <w:rPr>
          <w:rStyle w:val="Hyperlink"/>
          <w:rFonts w:cs="Arial"/>
          <w:color w:val="000000"/>
          <w:u w:val="none"/>
          <w:lang w:val="fr-FR"/>
        </w:rPr>
        <w:t>.</w:t>
      </w:r>
    </w:p>
  </w:footnote>
  <w:footnote w:id="101">
    <w:p w:rsidR="009E55DC" w:rsidRPr="00D22465"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fr-CH"/>
        </w:rPr>
        <w:t xml:space="preserve"> </w:t>
      </w:r>
      <w:r>
        <w:rPr>
          <w:rFonts w:cs="Arial"/>
          <w:lang w:val="fr-CH"/>
        </w:rPr>
        <w:tab/>
      </w:r>
      <w:proofErr w:type="spellStart"/>
      <w:r w:rsidRPr="00B92503">
        <w:rPr>
          <w:rFonts w:cs="Arial"/>
          <w:lang w:val="fr-CH"/>
        </w:rPr>
        <w:t>Act</w:t>
      </w:r>
      <w:proofErr w:type="spellEnd"/>
      <w:r w:rsidRPr="00B92503">
        <w:rPr>
          <w:rFonts w:cs="Arial"/>
          <w:lang w:val="fr-CH"/>
        </w:rPr>
        <w:t xml:space="preserve"> on </w:t>
      </w:r>
      <w:proofErr w:type="spellStart"/>
      <w:r w:rsidRPr="00B92503">
        <w:rPr>
          <w:rFonts w:cs="Arial"/>
          <w:lang w:val="fr-CH"/>
        </w:rPr>
        <w:t>Accessibility</w:t>
      </w:r>
      <w:proofErr w:type="spellEnd"/>
      <w:r w:rsidRPr="00B92503">
        <w:rPr>
          <w:rFonts w:cs="Arial"/>
          <w:lang w:val="fr-CH"/>
        </w:rPr>
        <w:t xml:space="preserve"> (Loi du 29 mars 2001 portant sur l’</w:t>
      </w:r>
      <w:proofErr w:type="spellStart"/>
      <w:r w:rsidRPr="00B92503">
        <w:rPr>
          <w:rFonts w:cs="Arial"/>
          <w:lang w:val="fr-CH"/>
        </w:rPr>
        <w:t>accessibilite</w:t>
      </w:r>
      <w:proofErr w:type="spellEnd"/>
      <w:r w:rsidRPr="00B92503">
        <w:rPr>
          <w:rFonts w:cs="Arial"/>
          <w:lang w:val="fr-CH"/>
        </w:rPr>
        <w:t xml:space="preserve">́ des lieux ouverts au public). </w:t>
      </w:r>
      <w:hyperlink r:id="rId100" w:history="1">
        <w:r w:rsidRPr="00B07447">
          <w:rPr>
            <w:rStyle w:val="Hyperlink"/>
            <w:rFonts w:cs="Arial"/>
            <w:lang w:val="fr-CH"/>
          </w:rPr>
          <w:t>http://data.legilux.public.lu/file/eli-etat-leg-recueil-accessibilite_lieux_publics-20081224-fr-pdf.pdf</w:t>
        </w:r>
      </w:hyperlink>
      <w:r w:rsidRPr="00D22465">
        <w:rPr>
          <w:rStyle w:val="Hyperlink"/>
          <w:rFonts w:cs="Arial"/>
          <w:color w:val="000000"/>
          <w:u w:val="none"/>
          <w:lang w:val="fr-CH"/>
        </w:rPr>
        <w:t>.</w:t>
      </w:r>
    </w:p>
  </w:footnote>
  <w:footnote w:id="102">
    <w:p w:rsidR="009E55DC" w:rsidRPr="00D22465" w:rsidRDefault="009E55DC" w:rsidP="00B92503">
      <w:pPr>
        <w:pStyle w:val="FootnoteText"/>
        <w:ind w:left="284" w:hanging="284"/>
        <w:jc w:val="left"/>
        <w:rPr>
          <w:rFonts w:cs="Arial"/>
          <w:lang w:val="fr-FR"/>
        </w:rPr>
      </w:pPr>
      <w:r w:rsidRPr="00B92503">
        <w:rPr>
          <w:rStyle w:val="FootnoteReference"/>
          <w:rFonts w:cs="Arial"/>
        </w:rPr>
        <w:footnoteRef/>
      </w:r>
      <w:r w:rsidRPr="00B92503">
        <w:rPr>
          <w:rFonts w:cs="Arial"/>
          <w:lang w:val="fr-CH"/>
        </w:rPr>
        <w:t xml:space="preserve"> </w:t>
      </w:r>
      <w:r>
        <w:rPr>
          <w:rFonts w:cs="Arial"/>
          <w:lang w:val="fr-CH"/>
        </w:rPr>
        <w:tab/>
      </w:r>
      <w:proofErr w:type="spellStart"/>
      <w:r w:rsidRPr="00B92503">
        <w:rPr>
          <w:rFonts w:cs="Arial"/>
          <w:lang w:val="fr-CH"/>
        </w:rPr>
        <w:t>Ministère</w:t>
      </w:r>
      <w:proofErr w:type="spellEnd"/>
      <w:r w:rsidRPr="00B92503">
        <w:rPr>
          <w:rFonts w:cs="Arial"/>
          <w:lang w:val="fr-CH"/>
        </w:rPr>
        <w:t xml:space="preserve"> de la Famille, de l’</w:t>
      </w:r>
      <w:proofErr w:type="spellStart"/>
      <w:r w:rsidRPr="00B92503">
        <w:rPr>
          <w:rFonts w:cs="Arial"/>
          <w:lang w:val="fr-CH"/>
        </w:rPr>
        <w:t>Intégration</w:t>
      </w:r>
      <w:proofErr w:type="spellEnd"/>
      <w:r w:rsidRPr="00B92503">
        <w:rPr>
          <w:rFonts w:cs="Arial"/>
          <w:lang w:val="fr-CH"/>
        </w:rPr>
        <w:t xml:space="preserve"> et à la Grande </w:t>
      </w:r>
      <w:proofErr w:type="spellStart"/>
      <w:r w:rsidRPr="00B92503">
        <w:rPr>
          <w:rFonts w:cs="Arial"/>
          <w:lang w:val="fr-CH"/>
        </w:rPr>
        <w:t>Région</w:t>
      </w:r>
      <w:proofErr w:type="spellEnd"/>
      <w:r w:rsidRPr="00B92503">
        <w:rPr>
          <w:rFonts w:cs="Arial"/>
          <w:lang w:val="fr-CH"/>
        </w:rPr>
        <w:t xml:space="preserve"> </w:t>
      </w:r>
      <w:hyperlink r:id="rId101" w:history="1">
        <w:r w:rsidRPr="00B92503">
          <w:rPr>
            <w:rStyle w:val="Hyperlink"/>
            <w:rFonts w:cs="Arial"/>
            <w:lang w:val="fr-CH"/>
          </w:rPr>
          <w:t>https://mfamigr.gouvernement.lu/dam-assets/publications/brochure-livre/minist-famille-integration-grande-region/br-design-for-all/design-for-all-habitation-adaptable-accessibilite-durable-de.pdf</w:t>
        </w:r>
      </w:hyperlink>
      <w:r w:rsidRPr="00D22465">
        <w:rPr>
          <w:rStyle w:val="Hyperlink"/>
          <w:rFonts w:cs="Arial"/>
          <w:color w:val="000000"/>
          <w:u w:val="none"/>
          <w:lang w:val="fr-FR"/>
        </w:rPr>
        <w:t>.</w:t>
      </w:r>
    </w:p>
  </w:footnote>
  <w:footnote w:id="103">
    <w:p w:rsidR="009E55DC" w:rsidRPr="00D22465" w:rsidRDefault="009E55DC" w:rsidP="00B92503">
      <w:pPr>
        <w:pStyle w:val="FootnoteText"/>
        <w:ind w:left="284" w:hanging="284"/>
        <w:jc w:val="left"/>
        <w:rPr>
          <w:rFonts w:cs="Arial"/>
          <w:lang w:val="fr-FR"/>
        </w:rPr>
      </w:pPr>
      <w:r w:rsidRPr="00B92503">
        <w:rPr>
          <w:rStyle w:val="FootnoteReference"/>
          <w:rFonts w:cs="Arial"/>
        </w:rPr>
        <w:footnoteRef/>
      </w:r>
      <w:r w:rsidRPr="00B92503">
        <w:rPr>
          <w:rFonts w:cs="Arial"/>
          <w:lang w:val="de-DE"/>
        </w:rPr>
        <w:t xml:space="preserve"> </w:t>
      </w:r>
      <w:r>
        <w:rPr>
          <w:rFonts w:cs="Arial"/>
          <w:lang w:val="de-DE"/>
        </w:rPr>
        <w:tab/>
      </w:r>
      <w:r w:rsidRPr="00B92503">
        <w:rPr>
          <w:rFonts w:cs="Arial"/>
          <w:lang w:val="de-DE"/>
        </w:rPr>
        <w:t xml:space="preserve">Limbach-Reich, A. (2013). Inklusion im Widerstreit theoretischer und praxeologischer Konzepte. Kongress der Internationalen Gesellschaft für erzieherische Hilfen; (Fédération Internationale des Communautés Educatives; International Federation of Educative Communities. FICE). </w:t>
      </w:r>
      <w:r w:rsidRPr="006C2378">
        <w:rPr>
          <w:rFonts w:cs="Arial"/>
          <w:lang w:val="de-DE"/>
        </w:rPr>
        <w:t xml:space="preserve">Bern: Switzerland 07 - 12 October 2013. </w:t>
      </w:r>
      <w:hyperlink r:id="rId102" w:history="1">
        <w:r w:rsidRPr="00B92503">
          <w:rPr>
            <w:rStyle w:val="Hyperlink"/>
            <w:rFonts w:cs="Arial"/>
            <w:lang w:val="fr-CH"/>
          </w:rPr>
          <w:t>http://www.fice-congress2013.ch/programm/abstracts/inklusion-im-nationalen-widerstreit-theoretischer-und-praxeologischer-konze/</w:t>
        </w:r>
      </w:hyperlink>
      <w:r w:rsidRPr="00B92503">
        <w:rPr>
          <w:rFonts w:cs="Arial"/>
          <w:lang w:val="fr-CH"/>
        </w:rPr>
        <w:t xml:space="preserve"> </w:t>
      </w:r>
      <w:proofErr w:type="gramStart"/>
      <w:r w:rsidRPr="00B92503">
        <w:rPr>
          <w:rFonts w:cs="Arial"/>
          <w:lang w:val="fr-CH"/>
        </w:rPr>
        <w:t>Reference:</w:t>
      </w:r>
      <w:proofErr w:type="gramEnd"/>
      <w:r w:rsidRPr="00B92503">
        <w:rPr>
          <w:rFonts w:cs="Arial"/>
          <w:lang w:val="fr-CH"/>
        </w:rPr>
        <w:t xml:space="preserve"> </w:t>
      </w:r>
      <w:r w:rsidRPr="005C6E68">
        <w:rPr>
          <w:rFonts w:cs="Arial"/>
          <w:i/>
          <w:lang w:val="fr-CH"/>
        </w:rPr>
        <w:t>La Constitution du Grand-Duché de Luxembourg Chapitre II. – Des libertés publiques et des droits fondamentaux (Intitulé ainsi modifié par la révision du 2 juin 1999.)</w:t>
      </w:r>
      <w:r w:rsidRPr="00B92503">
        <w:rPr>
          <w:rFonts w:cs="Arial"/>
          <w:lang w:val="fr-CH"/>
        </w:rPr>
        <w:t xml:space="preserve"> Article 11, (Révision du 29 mars 2007) Art. 11 Egalité devant la loi </w:t>
      </w:r>
      <w:hyperlink r:id="rId103" w:history="1">
        <w:r w:rsidRPr="00B92503">
          <w:rPr>
            <w:rStyle w:val="Hyperlink"/>
            <w:rFonts w:cs="Arial"/>
            <w:lang w:val="fr-CH"/>
          </w:rPr>
          <w:t>http://www.legilux.public.lu/leg/textescoordonnes/recueils/Constitution/Constitution.pdf</w:t>
        </w:r>
      </w:hyperlink>
      <w:r w:rsidRPr="00D22465">
        <w:rPr>
          <w:rStyle w:val="Hyperlink"/>
          <w:rFonts w:cs="Arial"/>
          <w:color w:val="000000"/>
          <w:u w:val="none"/>
          <w:lang w:val="fr-FR"/>
        </w:rPr>
        <w:t>.</w:t>
      </w:r>
    </w:p>
  </w:footnote>
  <w:footnote w:id="104">
    <w:p w:rsidR="009E55DC" w:rsidRPr="00B92503" w:rsidRDefault="009E55DC" w:rsidP="00B92503">
      <w:pPr>
        <w:pStyle w:val="FootnoteText"/>
        <w:ind w:left="284" w:hanging="284"/>
        <w:jc w:val="left"/>
        <w:rPr>
          <w:rFonts w:cs="Arial"/>
          <w:lang w:val="de-DE"/>
        </w:rPr>
      </w:pPr>
      <w:r w:rsidRPr="00B92503">
        <w:rPr>
          <w:rStyle w:val="FootnoteReference"/>
          <w:rFonts w:cs="Arial"/>
        </w:rPr>
        <w:footnoteRef/>
      </w:r>
      <w:r w:rsidRPr="00B92503">
        <w:rPr>
          <w:rFonts w:cs="Arial"/>
          <w:lang w:val="en-US"/>
        </w:rPr>
        <w:t xml:space="preserve"> </w:t>
      </w:r>
      <w:r>
        <w:rPr>
          <w:rFonts w:cs="Arial"/>
          <w:lang w:val="en-US"/>
        </w:rPr>
        <w:tab/>
      </w:r>
      <w:r w:rsidRPr="00B92503">
        <w:rPr>
          <w:rFonts w:cs="Arial"/>
          <w:lang w:val="en-US"/>
        </w:rPr>
        <w:t xml:space="preserve">For example, there are elevators at the new campus of the University of Luxembourg in Esch, but there is no guidance system for the blind at all. </w:t>
      </w:r>
      <w:r w:rsidRPr="00B92503">
        <w:rPr>
          <w:rFonts w:cs="Arial"/>
          <w:lang w:val="de-DE"/>
        </w:rPr>
        <w:t>L</w:t>
      </w:r>
      <w:r>
        <w:rPr>
          <w:rFonts w:cs="Arial"/>
          <w:lang w:val="de-DE"/>
        </w:rPr>
        <w:t>i</w:t>
      </w:r>
      <w:r w:rsidRPr="00B92503">
        <w:rPr>
          <w:rFonts w:cs="Arial"/>
          <w:lang w:val="de-DE"/>
        </w:rPr>
        <w:t xml:space="preserve">mbach-Reich, A. &amp; Powell, J. J.W. (2016) </w:t>
      </w:r>
      <w:r w:rsidRPr="005C6E68">
        <w:rPr>
          <w:rFonts w:cs="Arial"/>
          <w:i/>
          <w:lang w:val="de-DE"/>
        </w:rPr>
        <w:t>Studieren und Barrierefreiheit: Stolpersteine auf dem Weg zur Barrierefreiheit und wie sie aus dem Weg geräumt werden könnten. Forum für Politik, Gesellschaft und Kultur in Luxemburg</w:t>
      </w:r>
      <w:r w:rsidRPr="00B92503">
        <w:rPr>
          <w:rFonts w:cs="Arial"/>
          <w:lang w:val="de-DE"/>
        </w:rPr>
        <w:t>, 36, 6, 30-33.</w:t>
      </w:r>
    </w:p>
  </w:footnote>
  <w:footnote w:id="105">
    <w:p w:rsidR="009E55DC" w:rsidRPr="006C2378" w:rsidRDefault="009E55DC" w:rsidP="00B92503">
      <w:pPr>
        <w:pStyle w:val="FootnoteText"/>
        <w:ind w:left="284" w:hanging="284"/>
        <w:jc w:val="left"/>
        <w:rPr>
          <w:rFonts w:cs="Arial"/>
          <w:lang w:val="de-DE"/>
        </w:rPr>
      </w:pPr>
      <w:r w:rsidRPr="00B92503">
        <w:rPr>
          <w:rStyle w:val="FootnoteReference"/>
          <w:rFonts w:cs="Arial"/>
        </w:rPr>
        <w:footnoteRef/>
      </w:r>
      <w:r w:rsidRPr="006C2378">
        <w:rPr>
          <w:rFonts w:cs="Arial"/>
          <w:lang w:val="de-DE"/>
        </w:rPr>
        <w:t xml:space="preserve"> </w:t>
      </w:r>
      <w:r w:rsidRPr="006C2378">
        <w:rPr>
          <w:rFonts w:cs="Arial"/>
          <w:lang w:val="de-DE"/>
        </w:rPr>
        <w:tab/>
      </w:r>
      <w:r w:rsidRPr="006C2378">
        <w:rPr>
          <w:rFonts w:cs="Arial"/>
          <w:lang w:val="de-DE"/>
        </w:rPr>
        <w:t xml:space="preserve">CET 2017 </w:t>
      </w:r>
      <w:hyperlink r:id="rId104" w:history="1">
        <w:r w:rsidRPr="006C2378">
          <w:rPr>
            <w:rStyle w:val="Hyperlink"/>
            <w:rFonts w:cs="Arial"/>
            <w:lang w:val="de-DE"/>
          </w:rPr>
          <w:t>http://cet.lu/wp-content/uploads/2017/07/Brochure.pdf</w:t>
        </w:r>
      </w:hyperlink>
      <w:r w:rsidRPr="006C2378">
        <w:rPr>
          <w:rFonts w:cs="Arial"/>
          <w:lang w:val="de-DE"/>
        </w:rPr>
        <w:t xml:space="preserve">. </w:t>
      </w:r>
    </w:p>
  </w:footnote>
  <w:footnote w:id="106">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rPr>
        <w:t xml:space="preserve"> </w:t>
      </w:r>
      <w:r>
        <w:rPr>
          <w:rFonts w:cs="Arial"/>
        </w:rPr>
        <w:tab/>
      </w:r>
      <w:r w:rsidRPr="00B92503">
        <w:rPr>
          <w:rFonts w:cs="Arial"/>
        </w:rPr>
        <w:t xml:space="preserve">This issue has been addressed in the current working group on the second national action plan. </w:t>
      </w:r>
    </w:p>
  </w:footnote>
  <w:footnote w:id="107">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rPr>
        <w:t xml:space="preserve"> </w:t>
      </w:r>
      <w:r>
        <w:rPr>
          <w:rFonts w:cs="Arial"/>
        </w:rPr>
        <w:tab/>
      </w:r>
      <w:r w:rsidRPr="00B92503">
        <w:rPr>
          <w:rFonts w:cs="Arial"/>
        </w:rPr>
        <w:t>This point is also being discussed in the current working group on the second national action plan.</w:t>
      </w:r>
    </w:p>
  </w:footnote>
  <w:footnote w:id="108">
    <w:p w:rsidR="009E55DC" w:rsidRPr="00B92503" w:rsidRDefault="009E55DC" w:rsidP="00B92503">
      <w:pPr>
        <w:pStyle w:val="FootnoteText"/>
        <w:ind w:left="284" w:hanging="284"/>
        <w:jc w:val="left"/>
        <w:rPr>
          <w:rFonts w:cs="Arial"/>
          <w:lang w:val="de-DE"/>
        </w:rPr>
      </w:pPr>
      <w:r w:rsidRPr="00B92503">
        <w:rPr>
          <w:rStyle w:val="FootnoteReference"/>
          <w:rFonts w:cs="Arial"/>
        </w:rPr>
        <w:footnoteRef/>
      </w:r>
      <w:r w:rsidRPr="00B92503">
        <w:rPr>
          <w:rFonts w:cs="Arial"/>
          <w:lang w:val="de-DE"/>
        </w:rPr>
        <w:t xml:space="preserve"> </w:t>
      </w:r>
      <w:r>
        <w:rPr>
          <w:rFonts w:cs="Arial"/>
          <w:lang w:val="de-DE"/>
        </w:rPr>
        <w:tab/>
      </w:r>
      <w:r w:rsidRPr="00B92503">
        <w:rPr>
          <w:rFonts w:cs="Arial"/>
          <w:lang w:val="de-DE"/>
        </w:rPr>
        <w:t>L</w:t>
      </w:r>
      <w:r>
        <w:rPr>
          <w:rFonts w:cs="Arial"/>
          <w:lang w:val="de-DE"/>
        </w:rPr>
        <w:t>i</w:t>
      </w:r>
      <w:r w:rsidRPr="00B92503">
        <w:rPr>
          <w:rFonts w:cs="Arial"/>
          <w:lang w:val="de-DE"/>
        </w:rPr>
        <w:t xml:space="preserve">mbach-Reich, A. &amp; Powell, J. J.W. (2016) </w:t>
      </w:r>
      <w:r w:rsidRPr="005C6E68">
        <w:rPr>
          <w:rFonts w:cs="Arial"/>
          <w:i/>
          <w:lang w:val="de-DE"/>
        </w:rPr>
        <w:t>Studieren und Barrierefreiheit: Stolpersteine auf dem Weg zur Barrierefreiheit und wie sie aus dem Weg geräumt werden könnten. Forum für Politik, Gesellschaft und Kultur in Luxemburg</w:t>
      </w:r>
      <w:r w:rsidRPr="00B92503">
        <w:rPr>
          <w:rFonts w:cs="Arial"/>
          <w:lang w:val="de-DE"/>
        </w:rPr>
        <w:t>, 36, 6, 30-33.</w:t>
      </w:r>
    </w:p>
  </w:footnote>
  <w:footnote w:id="109">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lang w:val="de-DE"/>
        </w:rPr>
        <w:t xml:space="preserve"> </w:t>
      </w:r>
      <w:r>
        <w:rPr>
          <w:rFonts w:cs="Arial"/>
          <w:lang w:val="de-DE"/>
        </w:rPr>
        <w:tab/>
      </w:r>
      <w:r w:rsidRPr="00B92503">
        <w:rPr>
          <w:rFonts w:cs="Arial"/>
          <w:lang w:val="de-DE"/>
        </w:rPr>
        <w:t>«</w:t>
      </w:r>
      <w:r w:rsidRPr="005C6E68">
        <w:rPr>
          <w:rFonts w:cs="Arial"/>
          <w:i/>
          <w:lang w:val="de-DE"/>
        </w:rPr>
        <w:t>Réseau Psy</w:t>
      </w:r>
      <w:r w:rsidRPr="00B92503">
        <w:rPr>
          <w:rFonts w:cs="Arial"/>
          <w:lang w:val="de-DE"/>
        </w:rPr>
        <w:t xml:space="preserve">» : </w:t>
      </w:r>
      <w:r w:rsidRPr="005C6E68">
        <w:rPr>
          <w:rFonts w:cs="Arial"/>
          <w:i/>
          <w:lang w:val="de-DE"/>
        </w:rPr>
        <w:t>30 Jahre Sozialpsychiatrie Tageblatt</w:t>
      </w:r>
      <w:r w:rsidRPr="00B92503">
        <w:rPr>
          <w:rFonts w:cs="Arial"/>
          <w:lang w:val="de-DE"/>
        </w:rPr>
        <w:t xml:space="preserve"> 29. </w:t>
      </w:r>
      <w:r w:rsidRPr="00B92503">
        <w:rPr>
          <w:rFonts w:cs="Arial"/>
          <w:lang w:val="en-US"/>
        </w:rPr>
        <w:t xml:space="preserve">May 2018 </w:t>
      </w:r>
      <w:hyperlink r:id="rId105" w:history="1">
        <w:r w:rsidRPr="00B92503">
          <w:rPr>
            <w:rStyle w:val="Hyperlink"/>
            <w:rFonts w:cs="Arial"/>
            <w:lang w:val="en-US"/>
          </w:rPr>
          <w:t>https://www.pressreader.com</w:t>
        </w:r>
      </w:hyperlink>
      <w:r w:rsidRPr="00D22465">
        <w:rPr>
          <w:rStyle w:val="Hyperlink"/>
          <w:rFonts w:cs="Arial"/>
          <w:color w:val="000000"/>
          <w:u w:val="none"/>
        </w:rPr>
        <w:t>.</w:t>
      </w:r>
    </w:p>
  </w:footnote>
  <w:footnote w:id="110">
    <w:p w:rsidR="009E55DC" w:rsidRPr="00D22465" w:rsidRDefault="009E55DC" w:rsidP="00B92503">
      <w:pPr>
        <w:pStyle w:val="FootnoteText"/>
        <w:ind w:left="284" w:hanging="284"/>
        <w:jc w:val="left"/>
        <w:rPr>
          <w:rFonts w:cs="Arial"/>
          <w:lang w:val="de-DE"/>
        </w:rPr>
      </w:pPr>
      <w:r w:rsidRPr="00B92503">
        <w:rPr>
          <w:rStyle w:val="FootnoteReference"/>
          <w:rFonts w:cs="Arial"/>
        </w:rPr>
        <w:footnoteRef/>
      </w:r>
      <w:r w:rsidRPr="00B92503">
        <w:rPr>
          <w:rFonts w:cs="Arial"/>
        </w:rPr>
        <w:t xml:space="preserve"> </w:t>
      </w:r>
      <w:r>
        <w:rPr>
          <w:rFonts w:cs="Arial"/>
        </w:rPr>
        <w:tab/>
      </w:r>
      <w:r w:rsidRPr="00B92503">
        <w:rPr>
          <w:rFonts w:cs="Arial"/>
        </w:rPr>
        <w:t xml:space="preserve">Ministry of Family Affairs Integration and the </w:t>
      </w:r>
      <w:proofErr w:type="spellStart"/>
      <w:r w:rsidRPr="00B92503">
        <w:rPr>
          <w:rFonts w:cs="Arial"/>
        </w:rPr>
        <w:t>Greater.Region</w:t>
      </w:r>
      <w:proofErr w:type="spellEnd"/>
      <w:r w:rsidRPr="00B92503">
        <w:rPr>
          <w:rFonts w:cs="Arial"/>
        </w:rPr>
        <w:t xml:space="preserve"> (2012). </w:t>
      </w:r>
      <w:r w:rsidRPr="00B92503">
        <w:rPr>
          <w:rFonts w:cs="Arial"/>
          <w:lang w:val="de-DE"/>
        </w:rPr>
        <w:t>First action plan to implement the CRPD in Luxembourg (</w:t>
      </w:r>
      <w:r w:rsidRPr="00B92503">
        <w:rPr>
          <w:rFonts w:cs="Arial"/>
          <w:i/>
          <w:lang w:val="de-DE"/>
        </w:rPr>
        <w:t>Aktionsplan der Luxemburger Regierung zur Umsetzung der UNO-Behindertenrechtskonvention</w:t>
      </w:r>
      <w:r w:rsidRPr="00B92503">
        <w:rPr>
          <w:rFonts w:cs="Arial"/>
          <w:lang w:val="de-DE"/>
        </w:rPr>
        <w:t xml:space="preserve">), p. 46 </w:t>
      </w:r>
      <w:hyperlink r:id="rId106" w:history="1">
        <w:r w:rsidRPr="00232D65">
          <w:rPr>
            <w:rStyle w:val="Hyperlink"/>
            <w:rFonts w:cs="Arial"/>
            <w:lang w:val="de-DE"/>
          </w:rPr>
          <w:t>https://mfamigr.gouvernement.lu/dam</w:t>
        </w:r>
        <w:r w:rsidRPr="00232D65">
          <w:rPr>
            <w:rStyle w:val="Hyperlink"/>
            <w:rFonts w:cs="Arial"/>
            <w:lang w:val="de-DE"/>
          </w:rPr>
          <w:noBreakHyphen/>
          <w:t>assets/le</w:t>
        </w:r>
        <w:r w:rsidRPr="00232D65">
          <w:rPr>
            <w:rStyle w:val="Hyperlink"/>
            <w:rFonts w:cs="Arial"/>
            <w:lang w:val="de-DE"/>
          </w:rPr>
          <w:noBreakHyphen/>
          <w:t>ministère/attributions/personnes-handicapées/plan-d-action-du-gouvernement-luxembourgeois-en-faveur-des-personnes-handicapees.pdf</w:t>
        </w:r>
      </w:hyperlink>
      <w:r w:rsidRPr="00D22465">
        <w:rPr>
          <w:rStyle w:val="Hyperlink"/>
          <w:rFonts w:cs="Arial"/>
          <w:color w:val="000000"/>
          <w:u w:val="none"/>
          <w:lang w:val="de-DE"/>
        </w:rPr>
        <w:t>.</w:t>
      </w:r>
    </w:p>
  </w:footnote>
  <w:footnote w:id="111">
    <w:p w:rsidR="009E55DC" w:rsidRPr="00B92503" w:rsidRDefault="009E55DC" w:rsidP="00B92503">
      <w:pPr>
        <w:pStyle w:val="FootnoteText"/>
        <w:ind w:left="284" w:hanging="284"/>
        <w:jc w:val="left"/>
        <w:rPr>
          <w:rFonts w:cs="Arial"/>
          <w:lang w:val="de-DE"/>
        </w:rPr>
      </w:pPr>
      <w:r w:rsidRPr="00B92503">
        <w:rPr>
          <w:rStyle w:val="FootnoteReference"/>
          <w:rFonts w:cs="Arial"/>
        </w:rPr>
        <w:footnoteRef/>
      </w:r>
      <w:r w:rsidRPr="00B92503">
        <w:rPr>
          <w:rFonts w:cs="Arial"/>
          <w:lang w:val="fr-CH"/>
        </w:rPr>
        <w:t xml:space="preserve"> </w:t>
      </w:r>
      <w:r>
        <w:rPr>
          <w:rFonts w:cs="Arial"/>
          <w:lang w:val="fr-CH"/>
        </w:rPr>
        <w:tab/>
      </w:r>
      <w:r w:rsidRPr="00B92503">
        <w:rPr>
          <w:rFonts w:cs="Arial"/>
          <w:lang w:val="fr-CH"/>
        </w:rPr>
        <w:t xml:space="preserve">Centre for </w:t>
      </w:r>
      <w:proofErr w:type="spellStart"/>
      <w:r w:rsidRPr="00B92503">
        <w:rPr>
          <w:rFonts w:cs="Arial"/>
          <w:lang w:val="fr-CH"/>
        </w:rPr>
        <w:t>Equal</w:t>
      </w:r>
      <w:proofErr w:type="spellEnd"/>
      <w:r w:rsidRPr="00B92503">
        <w:rPr>
          <w:rFonts w:cs="Arial"/>
          <w:lang w:val="fr-CH"/>
        </w:rPr>
        <w:t xml:space="preserve"> </w:t>
      </w:r>
      <w:proofErr w:type="spellStart"/>
      <w:r w:rsidRPr="00B92503">
        <w:rPr>
          <w:rFonts w:cs="Arial"/>
          <w:lang w:val="fr-CH"/>
        </w:rPr>
        <w:t>Treatment</w:t>
      </w:r>
      <w:proofErr w:type="spellEnd"/>
      <w:r w:rsidRPr="00B92503">
        <w:rPr>
          <w:rFonts w:cs="Arial"/>
          <w:lang w:val="fr-CH"/>
        </w:rPr>
        <w:t xml:space="preserve"> (</w:t>
      </w:r>
      <w:proofErr w:type="gramStart"/>
      <w:r w:rsidRPr="005C6E68">
        <w:rPr>
          <w:rFonts w:cs="Arial"/>
          <w:i/>
          <w:lang w:val="fr-CH"/>
        </w:rPr>
        <w:t>CET</w:t>
      </w:r>
      <w:proofErr w:type="gramEnd"/>
      <w:r w:rsidRPr="005C6E68">
        <w:rPr>
          <w:rFonts w:cs="Arial"/>
          <w:i/>
          <w:lang w:val="fr-CH"/>
        </w:rPr>
        <w:t xml:space="preserve"> Centre pour Egalité de </w:t>
      </w:r>
      <w:proofErr w:type="spellStart"/>
      <w:r w:rsidRPr="005C6E68">
        <w:rPr>
          <w:rFonts w:cs="Arial"/>
          <w:i/>
          <w:lang w:val="fr-CH"/>
        </w:rPr>
        <w:t>treatment</w:t>
      </w:r>
      <w:proofErr w:type="spellEnd"/>
      <w:r w:rsidRPr="00B92503">
        <w:rPr>
          <w:rFonts w:cs="Arial"/>
          <w:lang w:val="fr-CH"/>
        </w:rPr>
        <w:t xml:space="preserve">) (2017). </w:t>
      </w:r>
      <w:hyperlink r:id="rId107" w:history="1">
        <w:r w:rsidRPr="00232D65">
          <w:rPr>
            <w:rStyle w:val="Hyperlink"/>
            <w:rFonts w:cs="Arial"/>
            <w:lang w:val="de-DE"/>
          </w:rPr>
          <w:t>http://cet.lu/wp</w:t>
        </w:r>
        <w:r w:rsidRPr="00232D65">
          <w:rPr>
            <w:rStyle w:val="Hyperlink"/>
            <w:rFonts w:cs="Arial"/>
            <w:lang w:val="de-DE"/>
          </w:rPr>
          <w:noBreakHyphen/>
          <w:t>content/uploads/2017/07/Brochure.pdf</w:t>
        </w:r>
      </w:hyperlink>
      <w:r w:rsidRPr="00D22465">
        <w:rPr>
          <w:rStyle w:val="Hyperlink"/>
          <w:rFonts w:cs="Arial"/>
          <w:color w:val="000000"/>
          <w:u w:val="none"/>
        </w:rPr>
        <w:t>.</w:t>
      </w:r>
    </w:p>
  </w:footnote>
  <w:footnote w:id="112">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lang w:val="de-DE"/>
        </w:rPr>
        <w:t xml:space="preserve"> </w:t>
      </w:r>
      <w:r>
        <w:rPr>
          <w:rFonts w:cs="Arial"/>
          <w:lang w:val="de-DE"/>
        </w:rPr>
        <w:tab/>
      </w:r>
      <w:r w:rsidRPr="00B92503">
        <w:rPr>
          <w:rFonts w:cs="Arial"/>
          <w:lang w:val="de-DE"/>
        </w:rPr>
        <w:t>Limbach-Reich, A. (2015). Report for the Sustainability Group of the University of Luxembourg (</w:t>
      </w:r>
      <w:r w:rsidRPr="005C6E68">
        <w:rPr>
          <w:rFonts w:cs="Arial"/>
          <w:i/>
          <w:lang w:val="de-DE"/>
        </w:rPr>
        <w:t>Barrierefreiheit und Bildung für Alle, Postulate integrativer Nachhaltigkeit, Raumplanung, Architektur, Infrastruktur und Lehre sowie Soziale Aspekte</w:t>
      </w:r>
      <w:r w:rsidRPr="00B92503">
        <w:rPr>
          <w:rFonts w:cs="Arial"/>
          <w:lang w:val="de-DE"/>
        </w:rPr>
        <w:t xml:space="preserve">). </w:t>
      </w:r>
      <w:r w:rsidRPr="00B92503">
        <w:rPr>
          <w:rFonts w:cs="Arial"/>
        </w:rPr>
        <w:t>Luxembourg University of Luxembourg.</w:t>
      </w:r>
    </w:p>
  </w:footnote>
  <w:footnote w:id="113">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lang w:val="en-US"/>
        </w:rPr>
        <w:t xml:space="preserve"> </w:t>
      </w:r>
      <w:r>
        <w:rPr>
          <w:rFonts w:cs="Arial"/>
          <w:lang w:val="en-US"/>
        </w:rPr>
        <w:tab/>
      </w:r>
      <w:r w:rsidRPr="00B92503">
        <w:rPr>
          <w:rFonts w:cs="Arial"/>
          <w:lang w:val="en-US"/>
        </w:rPr>
        <w:t>OECD 2019 (OECD.</w:t>
      </w:r>
      <w:r>
        <w:rPr>
          <w:rFonts w:cs="Arial"/>
          <w:lang w:val="en-US"/>
        </w:rPr>
        <w:t xml:space="preserve"> </w:t>
      </w:r>
      <w:r w:rsidRPr="00B92503">
        <w:rPr>
          <w:rFonts w:cs="Arial"/>
          <w:lang w:val="en-US"/>
        </w:rPr>
        <w:t>stat Ho</w:t>
      </w:r>
      <w:r>
        <w:rPr>
          <w:rFonts w:cs="Arial"/>
          <w:lang w:val="en-US"/>
        </w:rPr>
        <w:t xml:space="preserve">me </w:t>
      </w:r>
      <w:r w:rsidRPr="00B92503">
        <w:rPr>
          <w:rFonts w:cs="Arial"/>
          <w:lang w:val="en-US"/>
        </w:rPr>
        <w:t xml:space="preserve">page) Data based on and prepared by General Inspectorate of Social Security (IGSS). Preliminary results for 2016; Data refer to numbers as of 31st December every year and are not broken down by disability. </w:t>
      </w:r>
      <w:hyperlink r:id="rId108" w:history="1">
        <w:r w:rsidRPr="00B92503">
          <w:rPr>
            <w:rStyle w:val="Hyperlink"/>
            <w:rFonts w:cs="Arial"/>
            <w:lang w:val="en-US"/>
          </w:rPr>
          <w:t>https://stats.oecd.org/Index.aspx?QueryId=30142&amp;_ga=2.7185588.722996396.1547661294-1828482028.1541880394</w:t>
        </w:r>
      </w:hyperlink>
      <w:r w:rsidRPr="00D22465">
        <w:rPr>
          <w:rStyle w:val="Hyperlink"/>
          <w:rFonts w:cs="Arial"/>
          <w:color w:val="000000"/>
          <w:u w:val="none"/>
        </w:rPr>
        <w:t>.</w:t>
      </w:r>
    </w:p>
  </w:footnote>
  <w:footnote w:id="114">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rPr>
        <w:t xml:space="preserve"> </w:t>
      </w:r>
      <w:r>
        <w:rPr>
          <w:rFonts w:cs="Arial"/>
        </w:rPr>
        <w:tab/>
      </w:r>
      <w:r w:rsidRPr="00B92503">
        <w:rPr>
          <w:rFonts w:cs="Arial"/>
          <w:lang w:val="en-US"/>
        </w:rPr>
        <w:t>OECD 2019 (</w:t>
      </w:r>
      <w:proofErr w:type="spellStart"/>
      <w:r w:rsidRPr="00B92503">
        <w:rPr>
          <w:rFonts w:cs="Arial"/>
          <w:lang w:val="en-US"/>
        </w:rPr>
        <w:t>OECD.stat</w:t>
      </w:r>
      <w:proofErr w:type="spellEnd"/>
      <w:r w:rsidRPr="00B92503">
        <w:rPr>
          <w:rFonts w:cs="Arial"/>
          <w:lang w:val="en-US"/>
        </w:rPr>
        <w:t xml:space="preserve"> </w:t>
      </w:r>
      <w:proofErr w:type="spellStart"/>
      <w:r w:rsidRPr="00B92503">
        <w:rPr>
          <w:rFonts w:cs="Arial"/>
          <w:lang w:val="en-US"/>
        </w:rPr>
        <w:t>Hompage</w:t>
      </w:r>
      <w:proofErr w:type="spellEnd"/>
      <w:r w:rsidRPr="00B92503">
        <w:rPr>
          <w:rFonts w:cs="Arial"/>
          <w:lang w:val="en-US"/>
        </w:rPr>
        <w:t xml:space="preserve">) Data based on and prepared by General Inspectorate of Social Security (IGSS). Preliminary results for 2016; Data refer to numbers as of 31st December every year and are not broken down by disability. </w:t>
      </w:r>
      <w:hyperlink r:id="rId109" w:history="1">
        <w:r w:rsidRPr="00B92503">
          <w:rPr>
            <w:rStyle w:val="Hyperlink"/>
            <w:rFonts w:cs="Arial"/>
            <w:lang w:val="en-US"/>
          </w:rPr>
          <w:t>https://stats.oecd.org/Index.aspx?QueryId=30142&amp;_ga=2.7185588.722996396.1547661294-1828482028.1541880394</w:t>
        </w:r>
      </w:hyperlink>
      <w:r w:rsidRPr="00D22465">
        <w:rPr>
          <w:rStyle w:val="Hyperlink"/>
          <w:rFonts w:cs="Arial"/>
          <w:color w:val="000000"/>
          <w:u w:val="none"/>
        </w:rPr>
        <w:t>.</w:t>
      </w:r>
    </w:p>
  </w:footnote>
  <w:footnote w:id="115">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rPr>
        <w:t xml:space="preserve"> </w:t>
      </w:r>
      <w:r>
        <w:rPr>
          <w:rFonts w:cs="Arial"/>
        </w:rPr>
        <w:tab/>
      </w:r>
      <w:r w:rsidRPr="00B92503">
        <w:rPr>
          <w:rFonts w:cs="Arial"/>
          <w:lang w:val="en-US"/>
        </w:rPr>
        <w:t>OECD 2019 (</w:t>
      </w:r>
      <w:proofErr w:type="spellStart"/>
      <w:r w:rsidRPr="00B92503">
        <w:rPr>
          <w:rFonts w:cs="Arial"/>
          <w:lang w:val="en-US"/>
        </w:rPr>
        <w:t>OECD.stat</w:t>
      </w:r>
      <w:proofErr w:type="spellEnd"/>
      <w:r w:rsidRPr="00B92503">
        <w:rPr>
          <w:rFonts w:cs="Arial"/>
          <w:lang w:val="en-US"/>
        </w:rPr>
        <w:t xml:space="preserve"> Hom</w:t>
      </w:r>
      <w:r>
        <w:rPr>
          <w:rFonts w:cs="Arial"/>
          <w:lang w:val="en-US"/>
        </w:rPr>
        <w:t xml:space="preserve">e </w:t>
      </w:r>
      <w:r w:rsidRPr="00B92503">
        <w:rPr>
          <w:rFonts w:cs="Arial"/>
          <w:lang w:val="en-US"/>
        </w:rPr>
        <w:t xml:space="preserve">page) Data based on and prepared by General Inspectorate of Social Security (IGSS). Preliminary results for 2016; Data refer to numbers as of 31st December every year and are not broken down by disability. </w:t>
      </w:r>
      <w:hyperlink r:id="rId110" w:history="1">
        <w:r w:rsidRPr="00B92503">
          <w:rPr>
            <w:rStyle w:val="Hyperlink"/>
            <w:rFonts w:cs="Arial"/>
            <w:lang w:val="en-US"/>
          </w:rPr>
          <w:t>https://stats.oecd.org/Index.aspx?QueryId=30142&amp;_ga=2.7185588.722996396.1547661294-1828482028.1541880394</w:t>
        </w:r>
      </w:hyperlink>
      <w:r w:rsidRPr="00D22465">
        <w:rPr>
          <w:rStyle w:val="Hyperlink"/>
          <w:rFonts w:cs="Arial"/>
          <w:color w:val="000000"/>
          <w:u w:val="none"/>
        </w:rPr>
        <w:t>.</w:t>
      </w:r>
    </w:p>
  </w:footnote>
  <w:footnote w:id="116">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lang w:val="en-US"/>
        </w:rPr>
        <w:t xml:space="preserve"> </w:t>
      </w:r>
      <w:r>
        <w:rPr>
          <w:rFonts w:cs="Arial"/>
          <w:lang w:val="en-US"/>
        </w:rPr>
        <w:tab/>
      </w:r>
      <w:r w:rsidRPr="00B92503">
        <w:rPr>
          <w:rFonts w:cs="Arial"/>
          <w:lang w:val="en-US"/>
        </w:rPr>
        <w:t xml:space="preserve">OECD (2019) Data prepared by General Inspectorate of Social Security (IGSS). Preliminary results for 2016; Data refer to numbers as of 31st December every year and are not broken down by disability. </w:t>
      </w:r>
      <w:hyperlink r:id="rId111" w:history="1">
        <w:r w:rsidRPr="00B92503">
          <w:rPr>
            <w:rStyle w:val="Hyperlink"/>
            <w:rFonts w:cs="Arial"/>
            <w:lang w:val="en-US"/>
          </w:rPr>
          <w:t>https://stats.oecd.org/Index.aspx?QueryId=30142&amp;_ga=2.7185588.722996396.1547661294-1828482028.1541880394</w:t>
        </w:r>
      </w:hyperlink>
      <w:r w:rsidRPr="00D22465">
        <w:rPr>
          <w:rStyle w:val="Hyperlink"/>
          <w:rFonts w:cs="Arial"/>
          <w:color w:val="000000"/>
          <w:u w:val="none"/>
        </w:rPr>
        <w:t>.</w:t>
      </w:r>
    </w:p>
  </w:footnote>
  <w:footnote w:id="117">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lang w:val="en-US"/>
        </w:rPr>
        <w:t xml:space="preserve"> </w:t>
      </w:r>
      <w:r>
        <w:rPr>
          <w:rFonts w:cs="Arial"/>
          <w:lang w:val="en-US"/>
        </w:rPr>
        <w:tab/>
      </w:r>
      <w:r w:rsidRPr="00B92503">
        <w:rPr>
          <w:rFonts w:cs="Arial"/>
          <w:lang w:val="en-US"/>
        </w:rPr>
        <w:t>OECD 2019 (</w:t>
      </w:r>
      <w:proofErr w:type="spellStart"/>
      <w:r w:rsidRPr="00B92503">
        <w:rPr>
          <w:rFonts w:cs="Arial"/>
          <w:lang w:val="en-US"/>
        </w:rPr>
        <w:t>OECD.stat</w:t>
      </w:r>
      <w:proofErr w:type="spellEnd"/>
      <w:r w:rsidRPr="00B92503">
        <w:rPr>
          <w:rFonts w:cs="Arial"/>
          <w:lang w:val="en-US"/>
        </w:rPr>
        <w:t xml:space="preserve"> </w:t>
      </w:r>
      <w:proofErr w:type="spellStart"/>
      <w:r w:rsidRPr="00B92503">
        <w:rPr>
          <w:rFonts w:cs="Arial"/>
          <w:lang w:val="en-US"/>
        </w:rPr>
        <w:t>Hompage</w:t>
      </w:r>
      <w:proofErr w:type="spellEnd"/>
      <w:r w:rsidRPr="00B92503">
        <w:rPr>
          <w:rFonts w:cs="Arial"/>
          <w:lang w:val="en-US"/>
        </w:rPr>
        <w:t xml:space="preserve">) Data based on and prepared by General Inspectorate of Social Security (IGSS). Preliminary results for 2016; Data refer to numbers as of 31st December every year and are not broken down by disability. </w:t>
      </w:r>
      <w:hyperlink r:id="rId112" w:history="1">
        <w:r w:rsidRPr="00B92503">
          <w:rPr>
            <w:rStyle w:val="Hyperlink"/>
            <w:rFonts w:cs="Arial"/>
            <w:lang w:val="en-US"/>
          </w:rPr>
          <w:t>https://stats.oecd.org/Index.aspx?QueryId=30142&amp;_ga=2.7185588.722996396.1547661294-1828482028.1541880394</w:t>
        </w:r>
      </w:hyperlink>
      <w:r w:rsidRPr="00D22465">
        <w:rPr>
          <w:rStyle w:val="Hyperlink"/>
          <w:rFonts w:cs="Arial"/>
          <w:color w:val="000000"/>
          <w:u w:val="none"/>
        </w:rPr>
        <w:t>.</w:t>
      </w:r>
    </w:p>
  </w:footnote>
  <w:footnote w:id="118">
    <w:p w:rsidR="009E55DC" w:rsidRPr="00D22465" w:rsidRDefault="009E55DC" w:rsidP="00B92503">
      <w:pPr>
        <w:pStyle w:val="FootnoteText"/>
        <w:ind w:left="284" w:hanging="284"/>
        <w:jc w:val="left"/>
        <w:rPr>
          <w:rFonts w:cs="Arial"/>
          <w:lang w:val="fr-FR"/>
        </w:rPr>
      </w:pPr>
      <w:r w:rsidRPr="00B92503">
        <w:rPr>
          <w:rStyle w:val="FootnoteReference"/>
          <w:rFonts w:cs="Arial"/>
        </w:rPr>
        <w:footnoteRef/>
      </w:r>
      <w:r w:rsidRPr="00B92503">
        <w:rPr>
          <w:rFonts w:cs="Arial"/>
          <w:lang w:val="en-US"/>
        </w:rPr>
        <w:t xml:space="preserve"> </w:t>
      </w:r>
      <w:r>
        <w:rPr>
          <w:rFonts w:cs="Arial"/>
          <w:lang w:val="en-US"/>
        </w:rPr>
        <w:tab/>
      </w:r>
      <w:r w:rsidRPr="00B92503">
        <w:rPr>
          <w:rFonts w:cs="Arial"/>
          <w:lang w:val="en-US"/>
        </w:rPr>
        <w:t>OECD 2019 (</w:t>
      </w:r>
      <w:proofErr w:type="spellStart"/>
      <w:r w:rsidRPr="00B92503">
        <w:rPr>
          <w:rFonts w:cs="Arial"/>
          <w:lang w:val="en-US"/>
        </w:rPr>
        <w:t>OECD.stat</w:t>
      </w:r>
      <w:proofErr w:type="spellEnd"/>
      <w:r w:rsidRPr="00B92503">
        <w:rPr>
          <w:rFonts w:cs="Arial"/>
          <w:lang w:val="en-US"/>
        </w:rPr>
        <w:t xml:space="preserve"> </w:t>
      </w:r>
      <w:proofErr w:type="spellStart"/>
      <w:r w:rsidRPr="00B92503">
        <w:rPr>
          <w:rFonts w:cs="Arial"/>
          <w:lang w:val="en-US"/>
        </w:rPr>
        <w:t>Hompage</w:t>
      </w:r>
      <w:proofErr w:type="spellEnd"/>
      <w:r w:rsidRPr="00B92503">
        <w:rPr>
          <w:rFonts w:cs="Arial"/>
          <w:lang w:val="en-US"/>
        </w:rPr>
        <w:t xml:space="preserve">) Data based on and prepared by General Inspectorate of Social Security (IGSS). Preliminary results for 2016; Data refer to numbers as of 31st December every year and are not broken down by disability. </w:t>
      </w:r>
      <w:hyperlink r:id="rId113" w:history="1">
        <w:r w:rsidRPr="00B92503">
          <w:rPr>
            <w:rStyle w:val="Hyperlink"/>
            <w:rFonts w:cs="Arial"/>
            <w:lang w:val="fr-CH"/>
          </w:rPr>
          <w:t>https://stats.oecd.org/Index.aspx?QueryId=30142&amp;_ga=2.7185588.722996396.1547661294-1828482028.1541880394</w:t>
        </w:r>
      </w:hyperlink>
      <w:r w:rsidRPr="00D22465">
        <w:rPr>
          <w:rStyle w:val="Hyperlink"/>
          <w:rFonts w:cs="Arial"/>
          <w:color w:val="000000"/>
          <w:u w:val="none"/>
          <w:lang w:val="fr-FR"/>
        </w:rPr>
        <w:t>.</w:t>
      </w:r>
    </w:p>
  </w:footnote>
  <w:footnote w:id="119">
    <w:p w:rsidR="009E55DC" w:rsidRPr="00B92503" w:rsidRDefault="009E55DC" w:rsidP="00B92503">
      <w:pPr>
        <w:pStyle w:val="FootnoteText"/>
        <w:ind w:left="284" w:hanging="284"/>
        <w:jc w:val="left"/>
        <w:rPr>
          <w:rFonts w:cs="Arial"/>
          <w:lang w:val="fr-CH"/>
        </w:rPr>
      </w:pPr>
      <w:r w:rsidRPr="00B92503">
        <w:rPr>
          <w:rStyle w:val="FootnoteReference"/>
          <w:rFonts w:cs="Arial"/>
        </w:rPr>
        <w:footnoteRef/>
      </w:r>
      <w:r w:rsidRPr="00B92503">
        <w:rPr>
          <w:rFonts w:cs="Arial"/>
          <w:lang w:val="fr-CH"/>
        </w:rPr>
        <w:t xml:space="preserve"> </w:t>
      </w:r>
      <w:r>
        <w:rPr>
          <w:rFonts w:cs="Arial"/>
          <w:lang w:val="fr-CH"/>
        </w:rPr>
        <w:tab/>
      </w:r>
      <w:r w:rsidRPr="00B92503">
        <w:rPr>
          <w:rFonts w:cs="Arial"/>
          <w:lang w:val="fr-CH"/>
        </w:rPr>
        <w:t xml:space="preserve">Rapport Général sur la Sécurité Social au Grand-Duché de Luxembourg 2016 </w:t>
      </w:r>
      <w:hyperlink r:id="rId114" w:history="1">
        <w:r w:rsidRPr="00B92503">
          <w:rPr>
            <w:rStyle w:val="Hyperlink"/>
            <w:rFonts w:cs="Arial"/>
            <w:lang w:val="fr-CH"/>
          </w:rPr>
          <w:t>http://www.mss.public.lu/publications/rapport_general/rg2016/rg_2016.pdf</w:t>
        </w:r>
      </w:hyperlink>
      <w:r w:rsidRPr="00D22465">
        <w:rPr>
          <w:rStyle w:val="Hyperlink"/>
          <w:rFonts w:cs="Arial"/>
          <w:color w:val="auto"/>
          <w:u w:val="none"/>
          <w:lang w:val="fr-CH"/>
        </w:rPr>
        <w:t>;</w:t>
      </w:r>
      <w:r w:rsidRPr="00B92503">
        <w:rPr>
          <w:rFonts w:cs="Arial"/>
          <w:lang w:val="fr-CH"/>
        </w:rPr>
        <w:t xml:space="preserve"> </w:t>
      </w:r>
      <w:hyperlink r:id="rId115" w:history="1">
        <w:r w:rsidRPr="00B92503">
          <w:rPr>
            <w:rStyle w:val="Hyperlink"/>
            <w:rFonts w:cs="Arial"/>
            <w:lang w:val="fr-CH"/>
          </w:rPr>
          <w:t>http://www.mss.public.lu/publications/rapport_general/rg2017/rg_2017.pdf</w:t>
        </w:r>
      </w:hyperlink>
      <w:r w:rsidRPr="00D22465">
        <w:rPr>
          <w:rStyle w:val="Hyperlink"/>
          <w:rFonts w:cs="Arial"/>
          <w:color w:val="000000"/>
          <w:u w:val="none"/>
          <w:lang w:val="fr-FR"/>
        </w:rPr>
        <w:t>.</w:t>
      </w:r>
      <w:r w:rsidRPr="00B92503">
        <w:rPr>
          <w:rFonts w:cs="Arial"/>
          <w:lang w:val="fr-CH"/>
        </w:rPr>
        <w:t xml:space="preserve"> </w:t>
      </w:r>
    </w:p>
  </w:footnote>
  <w:footnote w:id="120">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lang w:val="en-US"/>
        </w:rPr>
        <w:t xml:space="preserve"> </w:t>
      </w:r>
      <w:r>
        <w:rPr>
          <w:rFonts w:cs="Arial"/>
          <w:lang w:val="en-US"/>
        </w:rPr>
        <w:tab/>
      </w:r>
      <w:r w:rsidRPr="00B92503">
        <w:rPr>
          <w:rFonts w:cs="Arial"/>
          <w:lang w:val="en-US"/>
        </w:rPr>
        <w:t xml:space="preserve">Ministry of Family  affairs -MFI (2017) </w:t>
      </w:r>
      <w:hyperlink r:id="rId116" w:history="1">
        <w:r w:rsidRPr="00B92503">
          <w:rPr>
            <w:rStyle w:val="Hyperlink"/>
            <w:rFonts w:cs="Arial"/>
            <w:lang w:val="en-US"/>
          </w:rPr>
          <w:t>https://gouvernement.lu/dam-assets/fr/publications/rapport-activite/minist-famille-integration-grande-region/2017-rapport-activite-famille/2017-rapport-activite-famille.pdf</w:t>
        </w:r>
      </w:hyperlink>
      <w:r w:rsidRPr="00D22465">
        <w:rPr>
          <w:rStyle w:val="Hyperlink"/>
          <w:rFonts w:cs="Arial"/>
          <w:color w:val="000000"/>
          <w:u w:val="none"/>
        </w:rPr>
        <w:t>.</w:t>
      </w:r>
    </w:p>
  </w:footnote>
  <w:footnote w:id="121">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rPr>
        <w:t xml:space="preserve"> </w:t>
      </w:r>
      <w:r>
        <w:rPr>
          <w:rFonts w:cs="Arial"/>
        </w:rPr>
        <w:tab/>
      </w:r>
      <w:r w:rsidRPr="00B92503">
        <w:rPr>
          <w:rFonts w:cs="Arial"/>
          <w:lang w:val="en-US"/>
        </w:rPr>
        <w:t xml:space="preserve">Coalition accord 2018 </w:t>
      </w:r>
      <w:hyperlink r:id="rId117" w:history="1">
        <w:r w:rsidRPr="00B92503">
          <w:rPr>
            <w:rStyle w:val="Hyperlink"/>
            <w:rFonts w:cs="Arial"/>
            <w:lang w:val="en-US"/>
          </w:rPr>
          <w:t>https://gouvernement.lu/de/publications/accord-coalition/2018-2023.html</w:t>
        </w:r>
      </w:hyperlink>
      <w:r w:rsidRPr="00D22465">
        <w:rPr>
          <w:rStyle w:val="Hyperlink"/>
          <w:rFonts w:cs="Arial"/>
          <w:color w:val="000000"/>
          <w:u w:val="none"/>
        </w:rPr>
        <w:t>.</w:t>
      </w:r>
      <w:r w:rsidRPr="00B92503">
        <w:rPr>
          <w:rFonts w:cs="Arial"/>
          <w:lang w:val="en-US"/>
        </w:rPr>
        <w:t xml:space="preserve"> </w:t>
      </w:r>
    </w:p>
  </w:footnote>
  <w:footnote w:id="122">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rPr>
        <w:t xml:space="preserve"> </w:t>
      </w:r>
      <w:r>
        <w:rPr>
          <w:rFonts w:cs="Arial"/>
        </w:rPr>
        <w:tab/>
      </w:r>
      <w:r w:rsidRPr="00B92503">
        <w:rPr>
          <w:rFonts w:cs="Arial"/>
        </w:rPr>
        <w:t xml:space="preserve">Initial report of Luxembourg implementing CRPD (2014). </w:t>
      </w:r>
      <w:hyperlink r:id="rId118" w:history="1">
        <w:r w:rsidRPr="00B92503">
          <w:rPr>
            <w:rStyle w:val="Hyperlink"/>
            <w:rFonts w:cs="Arial"/>
          </w:rPr>
          <w:t>https://tbinternet.ohchr.org/_layouts/treatybodyexternal/Download.aspx?symbolno=CRPD%2FC%2FLUX%2F1&amp;Lang=en</w:t>
        </w:r>
      </w:hyperlink>
      <w:r w:rsidRPr="00D22465">
        <w:rPr>
          <w:rStyle w:val="Hyperlink"/>
          <w:rFonts w:cs="Arial"/>
          <w:color w:val="000000"/>
          <w:u w:val="none"/>
        </w:rPr>
        <w:t>.</w:t>
      </w:r>
    </w:p>
  </w:footnote>
  <w:footnote w:id="123">
    <w:p w:rsidR="009E55DC" w:rsidRPr="00B92503" w:rsidRDefault="009E55DC" w:rsidP="00B92503">
      <w:pPr>
        <w:pStyle w:val="FootnoteText"/>
        <w:ind w:left="284" w:hanging="284"/>
        <w:jc w:val="left"/>
        <w:rPr>
          <w:rFonts w:cs="Arial"/>
        </w:rPr>
      </w:pPr>
      <w:r w:rsidRPr="00B92503">
        <w:rPr>
          <w:rStyle w:val="FootnoteReference"/>
          <w:rFonts w:cs="Arial"/>
        </w:rPr>
        <w:footnoteRef/>
      </w:r>
      <w:r w:rsidRPr="00B92503">
        <w:rPr>
          <w:rFonts w:cs="Arial"/>
        </w:rPr>
        <w:t xml:space="preserve"> </w:t>
      </w:r>
      <w:r>
        <w:rPr>
          <w:rFonts w:cs="Arial"/>
        </w:rPr>
        <w:tab/>
      </w:r>
      <w:r w:rsidRPr="00B92503">
        <w:rPr>
          <w:rFonts w:cs="Arial"/>
        </w:rPr>
        <w:t xml:space="preserve">First national Report implementing the CRPD Luxembourg (2015) </w:t>
      </w:r>
      <w:hyperlink r:id="rId119" w:history="1">
        <w:r w:rsidRPr="00B92503">
          <w:rPr>
            <w:rStyle w:val="Hyperlink"/>
            <w:rFonts w:cs="Arial"/>
          </w:rPr>
          <w:t>https://documents-dds-ny.un.org/doc/UNDOC/GEN/G15/201/47/PDF/G1520147.pdf?OpenElement</w:t>
        </w:r>
      </w:hyperlink>
      <w:r w:rsidRPr="00D22465">
        <w:rPr>
          <w:rStyle w:val="Hyperlink"/>
          <w:rFonts w:cs="Arial"/>
          <w:color w:val="000000"/>
          <w:u w:val="none"/>
        </w:rPr>
        <w:t>.</w:t>
      </w:r>
    </w:p>
  </w:footnote>
  <w:footnote w:id="124">
    <w:p w:rsidR="009E55DC" w:rsidRPr="00B92503" w:rsidRDefault="009E55DC" w:rsidP="00B92503">
      <w:pPr>
        <w:pStyle w:val="FootnoteText"/>
        <w:ind w:left="284" w:hanging="284"/>
        <w:jc w:val="left"/>
        <w:rPr>
          <w:rFonts w:cs="Arial"/>
          <w:lang w:val="en-US"/>
        </w:rPr>
      </w:pPr>
      <w:r w:rsidRPr="00B92503">
        <w:rPr>
          <w:rStyle w:val="FootnoteReference"/>
          <w:rFonts w:cs="Arial"/>
        </w:rPr>
        <w:footnoteRef/>
      </w:r>
      <w:r w:rsidRPr="00B92503">
        <w:rPr>
          <w:rFonts w:cs="Arial"/>
        </w:rPr>
        <w:t xml:space="preserve"> </w:t>
      </w:r>
      <w:r>
        <w:rPr>
          <w:rFonts w:cs="Arial"/>
        </w:rPr>
        <w:tab/>
      </w:r>
      <w:r w:rsidRPr="00B92503">
        <w:rPr>
          <w:rFonts w:cs="Arial"/>
        </w:rPr>
        <w:t xml:space="preserve">Shadow Report on Implementation of the United Nations Convention on the Rights of Persons with Disabilities Luxembourg 2016. </w:t>
      </w:r>
      <w:hyperlink r:id="rId120" w:history="1">
        <w:r w:rsidRPr="00B92503">
          <w:rPr>
            <w:rStyle w:val="Hyperlink"/>
            <w:rFonts w:cs="Arial"/>
          </w:rPr>
          <w:t>https://tbinternet.ohchr.org/_layouts/treatybodyexternal/Download.aspx?symbolno=INT%2fCRPD%2fCSS%2fLUX%2f26160&amp;Lang=en</w:t>
        </w:r>
      </w:hyperlink>
      <w:r w:rsidRPr="00D22465">
        <w:rPr>
          <w:rStyle w:val="Hyperlink"/>
          <w:rFonts w:cs="Arial"/>
          <w:color w:val="000000"/>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DC" w:rsidRDefault="009E55DC" w:rsidP="00D9246D">
    <w:pPr>
      <w:pStyle w:val="Header"/>
      <w:tabs>
        <w:tab w:val="clear" w:pos="9072"/>
        <w:tab w:val="right" w:pos="9063"/>
      </w:tabs>
    </w:pPr>
  </w:p>
  <w:p w:rsidR="009E55DC" w:rsidRDefault="009E55DC" w:rsidP="00D9246D">
    <w:pPr>
      <w:pStyle w:val="Header"/>
      <w:tabs>
        <w:tab w:val="clear" w:pos="9072"/>
        <w:tab w:val="right" w:pos="9063"/>
      </w:tabs>
    </w:pPr>
  </w:p>
  <w:p w:rsidR="009E55DC" w:rsidRDefault="009E55DC" w:rsidP="00D9246D">
    <w:pPr>
      <w:pStyle w:val="Header"/>
      <w:tabs>
        <w:tab w:val="clear" w:pos="9072"/>
        <w:tab w:val="right" w:pos="9063"/>
      </w:tabs>
    </w:pPr>
  </w:p>
  <w:p w:rsidR="009E55DC" w:rsidRDefault="009E55DC" w:rsidP="00A75929">
    <w:pPr>
      <w:pStyle w:val="Header"/>
      <w:tabs>
        <w:tab w:val="clear" w:pos="9072"/>
        <w:tab w:val="right" w:pos="9063"/>
      </w:tabs>
      <w:jc w:val="center"/>
      <w:rPr>
        <w:sz w:val="16"/>
        <w:szCs w:val="16"/>
      </w:rPr>
    </w:pPr>
    <w:r>
      <w:rPr>
        <w:sz w:val="16"/>
        <w:szCs w:val="16"/>
      </w:rPr>
      <w:t>ANED 2018-19 – Living independently and being included in the community – country report</w:t>
    </w:r>
  </w:p>
  <w:p w:rsidR="009E55DC" w:rsidRPr="004170A4" w:rsidRDefault="009E55DC" w:rsidP="004170A4">
    <w:pPr>
      <w:pStyle w:val="Header"/>
      <w:jc w:val="center"/>
      <w:rPr>
        <w:sz w:val="16"/>
      </w:rPr>
    </w:pPr>
    <w:r>
      <w:rPr>
        <w:noProof/>
        <w:sz w:val="16"/>
        <w:szCs w:val="16"/>
      </w:rPr>
      <w:pict>
        <v:rect id="_x0000_i1025" style="width:453.15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14E0"/>
    <w:multiLevelType w:val="multilevel"/>
    <w:tmpl w:val="AE36DB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28679A0"/>
    <w:multiLevelType w:val="hybridMultilevel"/>
    <w:tmpl w:val="9618B5DC"/>
    <w:lvl w:ilvl="0" w:tplc="443E6976">
      <w:numFmt w:val="bullet"/>
      <w:lvlText w:val="-"/>
      <w:lvlJc w:val="left"/>
      <w:pPr>
        <w:ind w:left="561" w:hanging="125"/>
      </w:pPr>
      <w:rPr>
        <w:rFonts w:ascii="Arial" w:eastAsia="Arial" w:hAnsi="Arial" w:cs="Arial" w:hint="default"/>
        <w:i/>
        <w:w w:val="100"/>
        <w:sz w:val="20"/>
        <w:szCs w:val="20"/>
      </w:rPr>
    </w:lvl>
    <w:lvl w:ilvl="1" w:tplc="4E6C01A8">
      <w:numFmt w:val="bullet"/>
      <w:lvlText w:val="•"/>
      <w:lvlJc w:val="left"/>
      <w:pPr>
        <w:ind w:left="1468" w:hanging="125"/>
      </w:pPr>
      <w:rPr>
        <w:rFonts w:hint="default"/>
      </w:rPr>
    </w:lvl>
    <w:lvl w:ilvl="2" w:tplc="D228CD26">
      <w:numFmt w:val="bullet"/>
      <w:lvlText w:val="•"/>
      <w:lvlJc w:val="left"/>
      <w:pPr>
        <w:ind w:left="2376" w:hanging="125"/>
      </w:pPr>
      <w:rPr>
        <w:rFonts w:hint="default"/>
      </w:rPr>
    </w:lvl>
    <w:lvl w:ilvl="3" w:tplc="B5527ADE">
      <w:numFmt w:val="bullet"/>
      <w:lvlText w:val="•"/>
      <w:lvlJc w:val="left"/>
      <w:pPr>
        <w:ind w:left="3284" w:hanging="125"/>
      </w:pPr>
      <w:rPr>
        <w:rFonts w:hint="default"/>
      </w:rPr>
    </w:lvl>
    <w:lvl w:ilvl="4" w:tplc="00DC3DB4">
      <w:numFmt w:val="bullet"/>
      <w:lvlText w:val="•"/>
      <w:lvlJc w:val="left"/>
      <w:pPr>
        <w:ind w:left="4192" w:hanging="125"/>
      </w:pPr>
      <w:rPr>
        <w:rFonts w:hint="default"/>
      </w:rPr>
    </w:lvl>
    <w:lvl w:ilvl="5" w:tplc="74FA1F84">
      <w:numFmt w:val="bullet"/>
      <w:lvlText w:val="•"/>
      <w:lvlJc w:val="left"/>
      <w:pPr>
        <w:ind w:left="5100" w:hanging="125"/>
      </w:pPr>
      <w:rPr>
        <w:rFonts w:hint="default"/>
      </w:rPr>
    </w:lvl>
    <w:lvl w:ilvl="6" w:tplc="4D6478E4">
      <w:numFmt w:val="bullet"/>
      <w:lvlText w:val="•"/>
      <w:lvlJc w:val="left"/>
      <w:pPr>
        <w:ind w:left="6008" w:hanging="125"/>
      </w:pPr>
      <w:rPr>
        <w:rFonts w:hint="default"/>
      </w:rPr>
    </w:lvl>
    <w:lvl w:ilvl="7" w:tplc="510CC6AE">
      <w:numFmt w:val="bullet"/>
      <w:lvlText w:val="•"/>
      <w:lvlJc w:val="left"/>
      <w:pPr>
        <w:ind w:left="6916" w:hanging="125"/>
      </w:pPr>
      <w:rPr>
        <w:rFonts w:hint="default"/>
      </w:rPr>
    </w:lvl>
    <w:lvl w:ilvl="8" w:tplc="AC445396">
      <w:numFmt w:val="bullet"/>
      <w:lvlText w:val="•"/>
      <w:lvlJc w:val="left"/>
      <w:pPr>
        <w:ind w:left="7824" w:hanging="125"/>
      </w:pPr>
      <w:rPr>
        <w:rFonts w:hint="default"/>
      </w:rPr>
    </w:lvl>
  </w:abstractNum>
  <w:abstractNum w:abstractNumId="2" w15:restartNumberingAfterBreak="0">
    <w:nsid w:val="0BD04F46"/>
    <w:multiLevelType w:val="hybridMultilevel"/>
    <w:tmpl w:val="54D02AA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4D7B86"/>
    <w:multiLevelType w:val="hybridMultilevel"/>
    <w:tmpl w:val="D2EEABCA"/>
    <w:lvl w:ilvl="0" w:tplc="C5A02C66">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42196F"/>
    <w:multiLevelType w:val="multilevel"/>
    <w:tmpl w:val="2B7490B6"/>
    <w:lvl w:ilvl="0">
      <w:start w:val="3"/>
      <w:numFmt w:val="decimal"/>
      <w:lvlText w:val="%1"/>
      <w:lvlJc w:val="left"/>
      <w:pPr>
        <w:ind w:left="787" w:hanging="567"/>
      </w:pPr>
      <w:rPr>
        <w:rFonts w:ascii="Arial" w:eastAsia="Arial" w:hAnsi="Arial" w:cs="Arial" w:hint="default"/>
        <w:b/>
        <w:bCs/>
        <w:spacing w:val="-4"/>
        <w:w w:val="100"/>
        <w:sz w:val="24"/>
        <w:szCs w:val="24"/>
      </w:rPr>
    </w:lvl>
    <w:lvl w:ilvl="1">
      <w:start w:val="1"/>
      <w:numFmt w:val="decimal"/>
      <w:lvlText w:val="%1.%2"/>
      <w:lvlJc w:val="left"/>
      <w:pPr>
        <w:ind w:left="787" w:hanging="567"/>
      </w:pPr>
      <w:rPr>
        <w:rFonts w:ascii="Arial" w:eastAsia="Arial" w:hAnsi="Arial" w:cs="Arial" w:hint="default"/>
        <w:b/>
        <w:bCs/>
        <w:spacing w:val="-4"/>
        <w:w w:val="100"/>
        <w:sz w:val="24"/>
        <w:szCs w:val="24"/>
      </w:rPr>
    </w:lvl>
    <w:lvl w:ilvl="2">
      <w:start w:val="1"/>
      <w:numFmt w:val="decimal"/>
      <w:lvlText w:val="%1.%2.%3"/>
      <w:lvlJc w:val="left"/>
      <w:pPr>
        <w:ind w:left="941" w:hanging="720"/>
      </w:pPr>
      <w:rPr>
        <w:rFonts w:ascii="Arial" w:eastAsia="Arial" w:hAnsi="Arial" w:cs="Arial" w:hint="default"/>
        <w:spacing w:val="-17"/>
        <w:w w:val="100"/>
        <w:sz w:val="24"/>
        <w:szCs w:val="24"/>
      </w:rPr>
    </w:lvl>
    <w:lvl w:ilvl="3">
      <w:numFmt w:val="bullet"/>
      <w:lvlText w:val="•"/>
      <w:lvlJc w:val="left"/>
      <w:pPr>
        <w:ind w:left="2873" w:hanging="720"/>
      </w:pPr>
      <w:rPr>
        <w:rFonts w:hint="default"/>
      </w:rPr>
    </w:lvl>
    <w:lvl w:ilvl="4">
      <w:numFmt w:val="bullet"/>
      <w:lvlText w:val="•"/>
      <w:lvlJc w:val="left"/>
      <w:pPr>
        <w:ind w:left="3840" w:hanging="720"/>
      </w:pPr>
      <w:rPr>
        <w:rFonts w:hint="default"/>
      </w:rPr>
    </w:lvl>
    <w:lvl w:ilvl="5">
      <w:numFmt w:val="bullet"/>
      <w:lvlText w:val="•"/>
      <w:lvlJc w:val="left"/>
      <w:pPr>
        <w:ind w:left="4806" w:hanging="720"/>
      </w:pPr>
      <w:rPr>
        <w:rFonts w:hint="default"/>
      </w:rPr>
    </w:lvl>
    <w:lvl w:ilvl="6">
      <w:numFmt w:val="bullet"/>
      <w:lvlText w:val="•"/>
      <w:lvlJc w:val="left"/>
      <w:pPr>
        <w:ind w:left="5773" w:hanging="720"/>
      </w:pPr>
      <w:rPr>
        <w:rFonts w:hint="default"/>
      </w:rPr>
    </w:lvl>
    <w:lvl w:ilvl="7">
      <w:numFmt w:val="bullet"/>
      <w:lvlText w:val="•"/>
      <w:lvlJc w:val="left"/>
      <w:pPr>
        <w:ind w:left="6740" w:hanging="720"/>
      </w:pPr>
      <w:rPr>
        <w:rFonts w:hint="default"/>
      </w:rPr>
    </w:lvl>
    <w:lvl w:ilvl="8">
      <w:numFmt w:val="bullet"/>
      <w:lvlText w:val="•"/>
      <w:lvlJc w:val="left"/>
      <w:pPr>
        <w:ind w:left="7706" w:hanging="720"/>
      </w:pPr>
      <w:rPr>
        <w:rFonts w:hint="default"/>
      </w:rPr>
    </w:lvl>
  </w:abstractNum>
  <w:abstractNum w:abstractNumId="5" w15:restartNumberingAfterBreak="0">
    <w:nsid w:val="141B0124"/>
    <w:multiLevelType w:val="multilevel"/>
    <w:tmpl w:val="11B6AF10"/>
    <w:lvl w:ilvl="0">
      <w:start w:val="2"/>
      <w:numFmt w:val="decimal"/>
      <w:lvlText w:val="%1"/>
      <w:lvlJc w:val="left"/>
      <w:pPr>
        <w:ind w:left="787" w:hanging="572"/>
      </w:pPr>
      <w:rPr>
        <w:rFonts w:hint="default"/>
      </w:rPr>
    </w:lvl>
    <w:lvl w:ilvl="1">
      <w:start w:val="1"/>
      <w:numFmt w:val="decimal"/>
      <w:lvlText w:val="%1.%2"/>
      <w:lvlJc w:val="left"/>
      <w:pPr>
        <w:ind w:left="787" w:hanging="572"/>
      </w:pPr>
      <w:rPr>
        <w:rFonts w:ascii="Arial" w:eastAsia="Arial" w:hAnsi="Arial" w:cs="Arial" w:hint="default"/>
        <w:b/>
        <w:bCs/>
        <w:spacing w:val="-9"/>
        <w:w w:val="99"/>
        <w:sz w:val="24"/>
        <w:szCs w:val="24"/>
      </w:rPr>
    </w:lvl>
    <w:lvl w:ilvl="2">
      <w:numFmt w:val="bullet"/>
      <w:lvlText w:val="•"/>
      <w:lvlJc w:val="left"/>
      <w:pPr>
        <w:ind w:left="2552" w:hanging="572"/>
      </w:pPr>
      <w:rPr>
        <w:rFonts w:hint="default"/>
      </w:rPr>
    </w:lvl>
    <w:lvl w:ilvl="3">
      <w:numFmt w:val="bullet"/>
      <w:lvlText w:val="•"/>
      <w:lvlJc w:val="left"/>
      <w:pPr>
        <w:ind w:left="3438" w:hanging="572"/>
      </w:pPr>
      <w:rPr>
        <w:rFonts w:hint="default"/>
      </w:rPr>
    </w:lvl>
    <w:lvl w:ilvl="4">
      <w:numFmt w:val="bullet"/>
      <w:lvlText w:val="•"/>
      <w:lvlJc w:val="left"/>
      <w:pPr>
        <w:ind w:left="4324" w:hanging="572"/>
      </w:pPr>
      <w:rPr>
        <w:rFonts w:hint="default"/>
      </w:rPr>
    </w:lvl>
    <w:lvl w:ilvl="5">
      <w:numFmt w:val="bullet"/>
      <w:lvlText w:val="•"/>
      <w:lvlJc w:val="left"/>
      <w:pPr>
        <w:ind w:left="5210" w:hanging="572"/>
      </w:pPr>
      <w:rPr>
        <w:rFonts w:hint="default"/>
      </w:rPr>
    </w:lvl>
    <w:lvl w:ilvl="6">
      <w:numFmt w:val="bullet"/>
      <w:lvlText w:val="•"/>
      <w:lvlJc w:val="left"/>
      <w:pPr>
        <w:ind w:left="6096" w:hanging="572"/>
      </w:pPr>
      <w:rPr>
        <w:rFonts w:hint="default"/>
      </w:rPr>
    </w:lvl>
    <w:lvl w:ilvl="7">
      <w:numFmt w:val="bullet"/>
      <w:lvlText w:val="•"/>
      <w:lvlJc w:val="left"/>
      <w:pPr>
        <w:ind w:left="6982" w:hanging="572"/>
      </w:pPr>
      <w:rPr>
        <w:rFonts w:hint="default"/>
      </w:rPr>
    </w:lvl>
    <w:lvl w:ilvl="8">
      <w:numFmt w:val="bullet"/>
      <w:lvlText w:val="•"/>
      <w:lvlJc w:val="left"/>
      <w:pPr>
        <w:ind w:left="7868" w:hanging="572"/>
      </w:pPr>
      <w:rPr>
        <w:rFonts w:hint="default"/>
      </w:rPr>
    </w:lvl>
  </w:abstractNum>
  <w:abstractNum w:abstractNumId="6" w15:restartNumberingAfterBreak="0">
    <w:nsid w:val="1D1A3762"/>
    <w:multiLevelType w:val="multilevel"/>
    <w:tmpl w:val="7BDC13AC"/>
    <w:lvl w:ilvl="0">
      <w:start w:val="1"/>
      <w:numFmt w:val="decimal"/>
      <w:lvlText w:val="%1"/>
      <w:lvlJc w:val="left"/>
      <w:pPr>
        <w:ind w:left="787" w:hanging="567"/>
      </w:pPr>
      <w:rPr>
        <w:rFonts w:hint="default"/>
      </w:rPr>
    </w:lvl>
    <w:lvl w:ilvl="1">
      <w:start w:val="1"/>
      <w:numFmt w:val="decimal"/>
      <w:lvlText w:val="%1.%2"/>
      <w:lvlJc w:val="left"/>
      <w:pPr>
        <w:ind w:left="787" w:hanging="567"/>
      </w:pPr>
      <w:rPr>
        <w:rFonts w:ascii="Arial" w:eastAsia="Arial" w:hAnsi="Arial" w:cs="Arial" w:hint="default"/>
        <w:b/>
        <w:bCs/>
        <w:spacing w:val="-5"/>
        <w:w w:val="100"/>
        <w:sz w:val="24"/>
        <w:szCs w:val="24"/>
      </w:rPr>
    </w:lvl>
    <w:lvl w:ilvl="2">
      <w:start w:val="1"/>
      <w:numFmt w:val="decimal"/>
      <w:lvlText w:val="%1.%2.%3"/>
      <w:lvlJc w:val="left"/>
      <w:pPr>
        <w:ind w:left="941" w:hanging="720"/>
      </w:pPr>
      <w:rPr>
        <w:rFonts w:ascii="Arial" w:eastAsia="Arial" w:hAnsi="Arial" w:cs="Arial" w:hint="default"/>
        <w:spacing w:val="-17"/>
        <w:w w:val="100"/>
        <w:sz w:val="24"/>
        <w:szCs w:val="24"/>
      </w:rPr>
    </w:lvl>
    <w:lvl w:ilvl="3">
      <w:numFmt w:val="bullet"/>
      <w:lvlText w:val="•"/>
      <w:lvlJc w:val="left"/>
      <w:pPr>
        <w:ind w:left="2873" w:hanging="720"/>
      </w:pPr>
      <w:rPr>
        <w:rFonts w:hint="default"/>
      </w:rPr>
    </w:lvl>
    <w:lvl w:ilvl="4">
      <w:numFmt w:val="bullet"/>
      <w:lvlText w:val="•"/>
      <w:lvlJc w:val="left"/>
      <w:pPr>
        <w:ind w:left="3840" w:hanging="720"/>
      </w:pPr>
      <w:rPr>
        <w:rFonts w:hint="default"/>
      </w:rPr>
    </w:lvl>
    <w:lvl w:ilvl="5">
      <w:numFmt w:val="bullet"/>
      <w:lvlText w:val="•"/>
      <w:lvlJc w:val="left"/>
      <w:pPr>
        <w:ind w:left="4806" w:hanging="720"/>
      </w:pPr>
      <w:rPr>
        <w:rFonts w:hint="default"/>
      </w:rPr>
    </w:lvl>
    <w:lvl w:ilvl="6">
      <w:numFmt w:val="bullet"/>
      <w:lvlText w:val="•"/>
      <w:lvlJc w:val="left"/>
      <w:pPr>
        <w:ind w:left="5773" w:hanging="720"/>
      </w:pPr>
      <w:rPr>
        <w:rFonts w:hint="default"/>
      </w:rPr>
    </w:lvl>
    <w:lvl w:ilvl="7">
      <w:numFmt w:val="bullet"/>
      <w:lvlText w:val="•"/>
      <w:lvlJc w:val="left"/>
      <w:pPr>
        <w:ind w:left="6740" w:hanging="720"/>
      </w:pPr>
      <w:rPr>
        <w:rFonts w:hint="default"/>
      </w:rPr>
    </w:lvl>
    <w:lvl w:ilvl="8">
      <w:numFmt w:val="bullet"/>
      <w:lvlText w:val="•"/>
      <w:lvlJc w:val="left"/>
      <w:pPr>
        <w:ind w:left="7706" w:hanging="720"/>
      </w:pPr>
      <w:rPr>
        <w:rFonts w:hint="default"/>
      </w:rPr>
    </w:lvl>
  </w:abstractNum>
  <w:abstractNum w:abstractNumId="7" w15:restartNumberingAfterBreak="0">
    <w:nsid w:val="1E1839EC"/>
    <w:multiLevelType w:val="multilevel"/>
    <w:tmpl w:val="B502C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D96AA7"/>
    <w:multiLevelType w:val="hybridMultilevel"/>
    <w:tmpl w:val="A7EA264C"/>
    <w:lvl w:ilvl="0" w:tplc="26FAA5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575150"/>
    <w:multiLevelType w:val="hybridMultilevel"/>
    <w:tmpl w:val="8084E752"/>
    <w:lvl w:ilvl="0" w:tplc="BD560B04">
      <w:numFmt w:val="bullet"/>
      <w:lvlText w:val="–"/>
      <w:lvlJc w:val="left"/>
      <w:pPr>
        <w:ind w:left="221" w:hanging="130"/>
      </w:pPr>
      <w:rPr>
        <w:rFonts w:ascii="Arial" w:eastAsia="Arial" w:hAnsi="Arial" w:cs="Arial" w:hint="default"/>
        <w:w w:val="99"/>
        <w:sz w:val="16"/>
        <w:szCs w:val="16"/>
      </w:rPr>
    </w:lvl>
    <w:lvl w:ilvl="1" w:tplc="EF1CBB8A">
      <w:numFmt w:val="bullet"/>
      <w:lvlText w:val="•"/>
      <w:lvlJc w:val="left"/>
      <w:pPr>
        <w:ind w:left="1162" w:hanging="130"/>
      </w:pPr>
      <w:rPr>
        <w:rFonts w:hint="default"/>
      </w:rPr>
    </w:lvl>
    <w:lvl w:ilvl="2" w:tplc="29EA7A84">
      <w:numFmt w:val="bullet"/>
      <w:lvlText w:val="•"/>
      <w:lvlJc w:val="left"/>
      <w:pPr>
        <w:ind w:left="2104" w:hanging="130"/>
      </w:pPr>
      <w:rPr>
        <w:rFonts w:hint="default"/>
      </w:rPr>
    </w:lvl>
    <w:lvl w:ilvl="3" w:tplc="AAA640CE">
      <w:numFmt w:val="bullet"/>
      <w:lvlText w:val="•"/>
      <w:lvlJc w:val="left"/>
      <w:pPr>
        <w:ind w:left="3046" w:hanging="130"/>
      </w:pPr>
      <w:rPr>
        <w:rFonts w:hint="default"/>
      </w:rPr>
    </w:lvl>
    <w:lvl w:ilvl="4" w:tplc="84B45844">
      <w:numFmt w:val="bullet"/>
      <w:lvlText w:val="•"/>
      <w:lvlJc w:val="left"/>
      <w:pPr>
        <w:ind w:left="3988" w:hanging="130"/>
      </w:pPr>
      <w:rPr>
        <w:rFonts w:hint="default"/>
      </w:rPr>
    </w:lvl>
    <w:lvl w:ilvl="5" w:tplc="80943A88">
      <w:numFmt w:val="bullet"/>
      <w:lvlText w:val="•"/>
      <w:lvlJc w:val="left"/>
      <w:pPr>
        <w:ind w:left="4930" w:hanging="130"/>
      </w:pPr>
      <w:rPr>
        <w:rFonts w:hint="default"/>
      </w:rPr>
    </w:lvl>
    <w:lvl w:ilvl="6" w:tplc="DE18C858">
      <w:numFmt w:val="bullet"/>
      <w:lvlText w:val="•"/>
      <w:lvlJc w:val="left"/>
      <w:pPr>
        <w:ind w:left="5872" w:hanging="130"/>
      </w:pPr>
      <w:rPr>
        <w:rFonts w:hint="default"/>
      </w:rPr>
    </w:lvl>
    <w:lvl w:ilvl="7" w:tplc="7286E3BC">
      <w:numFmt w:val="bullet"/>
      <w:lvlText w:val="•"/>
      <w:lvlJc w:val="left"/>
      <w:pPr>
        <w:ind w:left="6814" w:hanging="130"/>
      </w:pPr>
      <w:rPr>
        <w:rFonts w:hint="default"/>
      </w:rPr>
    </w:lvl>
    <w:lvl w:ilvl="8" w:tplc="5C7C883E">
      <w:numFmt w:val="bullet"/>
      <w:lvlText w:val="•"/>
      <w:lvlJc w:val="left"/>
      <w:pPr>
        <w:ind w:left="7756" w:hanging="130"/>
      </w:pPr>
      <w:rPr>
        <w:rFonts w:hint="default"/>
      </w:rPr>
    </w:lvl>
  </w:abstractNum>
  <w:abstractNum w:abstractNumId="10" w15:restartNumberingAfterBreak="0">
    <w:nsid w:val="2BC30BEB"/>
    <w:multiLevelType w:val="hybridMultilevel"/>
    <w:tmpl w:val="BFCA225A"/>
    <w:lvl w:ilvl="0" w:tplc="4822AAC0">
      <w:start w:val="8"/>
      <w:numFmt w:val="decimal"/>
      <w:lvlText w:val="%1"/>
      <w:lvlJc w:val="left"/>
      <w:pPr>
        <w:ind w:left="787" w:hanging="567"/>
      </w:pPr>
      <w:rPr>
        <w:rFonts w:ascii="Arial" w:eastAsia="Arial" w:hAnsi="Arial" w:cs="Arial" w:hint="default"/>
        <w:b/>
        <w:bCs/>
        <w:spacing w:val="-5"/>
        <w:w w:val="100"/>
        <w:sz w:val="24"/>
        <w:szCs w:val="24"/>
      </w:rPr>
    </w:lvl>
    <w:lvl w:ilvl="1" w:tplc="F788BC30">
      <w:numFmt w:val="bullet"/>
      <w:lvlText w:val="•"/>
      <w:lvlJc w:val="left"/>
      <w:pPr>
        <w:ind w:left="1666" w:hanging="567"/>
      </w:pPr>
      <w:rPr>
        <w:rFonts w:hint="default"/>
      </w:rPr>
    </w:lvl>
    <w:lvl w:ilvl="2" w:tplc="1086496C">
      <w:numFmt w:val="bullet"/>
      <w:lvlText w:val="•"/>
      <w:lvlJc w:val="left"/>
      <w:pPr>
        <w:ind w:left="2552" w:hanging="567"/>
      </w:pPr>
      <w:rPr>
        <w:rFonts w:hint="default"/>
      </w:rPr>
    </w:lvl>
    <w:lvl w:ilvl="3" w:tplc="4B9024EE">
      <w:numFmt w:val="bullet"/>
      <w:lvlText w:val="•"/>
      <w:lvlJc w:val="left"/>
      <w:pPr>
        <w:ind w:left="3438" w:hanging="567"/>
      </w:pPr>
      <w:rPr>
        <w:rFonts w:hint="default"/>
      </w:rPr>
    </w:lvl>
    <w:lvl w:ilvl="4" w:tplc="0660D112">
      <w:numFmt w:val="bullet"/>
      <w:lvlText w:val="•"/>
      <w:lvlJc w:val="left"/>
      <w:pPr>
        <w:ind w:left="4324" w:hanging="567"/>
      </w:pPr>
      <w:rPr>
        <w:rFonts w:hint="default"/>
      </w:rPr>
    </w:lvl>
    <w:lvl w:ilvl="5" w:tplc="2B4A04EE">
      <w:numFmt w:val="bullet"/>
      <w:lvlText w:val="•"/>
      <w:lvlJc w:val="left"/>
      <w:pPr>
        <w:ind w:left="5210" w:hanging="567"/>
      </w:pPr>
      <w:rPr>
        <w:rFonts w:hint="default"/>
      </w:rPr>
    </w:lvl>
    <w:lvl w:ilvl="6" w:tplc="924E466C">
      <w:numFmt w:val="bullet"/>
      <w:lvlText w:val="•"/>
      <w:lvlJc w:val="left"/>
      <w:pPr>
        <w:ind w:left="6096" w:hanging="567"/>
      </w:pPr>
      <w:rPr>
        <w:rFonts w:hint="default"/>
      </w:rPr>
    </w:lvl>
    <w:lvl w:ilvl="7" w:tplc="0DD640B0">
      <w:numFmt w:val="bullet"/>
      <w:lvlText w:val="•"/>
      <w:lvlJc w:val="left"/>
      <w:pPr>
        <w:ind w:left="6982" w:hanging="567"/>
      </w:pPr>
      <w:rPr>
        <w:rFonts w:hint="default"/>
      </w:rPr>
    </w:lvl>
    <w:lvl w:ilvl="8" w:tplc="1CE617CE">
      <w:numFmt w:val="bullet"/>
      <w:lvlText w:val="•"/>
      <w:lvlJc w:val="left"/>
      <w:pPr>
        <w:ind w:left="7868" w:hanging="567"/>
      </w:pPr>
      <w:rPr>
        <w:rFonts w:hint="default"/>
      </w:rPr>
    </w:lvl>
  </w:abstractNum>
  <w:abstractNum w:abstractNumId="11" w15:restartNumberingAfterBreak="0">
    <w:nsid w:val="2BD13075"/>
    <w:multiLevelType w:val="hybridMultilevel"/>
    <w:tmpl w:val="673E19A4"/>
    <w:lvl w:ilvl="0" w:tplc="2BF019F6">
      <w:start w:val="36"/>
      <w:numFmt w:val="decimal"/>
      <w:lvlText w:val="%1"/>
      <w:lvlJc w:val="left"/>
      <w:pPr>
        <w:ind w:left="221" w:hanging="202"/>
      </w:pPr>
      <w:rPr>
        <w:rFonts w:ascii="Arial" w:eastAsia="Arial" w:hAnsi="Arial" w:cs="Arial" w:hint="default"/>
        <w:spacing w:val="-1"/>
        <w:w w:val="99"/>
        <w:position w:val="7"/>
        <w:sz w:val="13"/>
        <w:szCs w:val="13"/>
      </w:rPr>
    </w:lvl>
    <w:lvl w:ilvl="1" w:tplc="45124FDE">
      <w:numFmt w:val="bullet"/>
      <w:lvlText w:val="•"/>
      <w:lvlJc w:val="left"/>
      <w:pPr>
        <w:ind w:left="1162" w:hanging="202"/>
      </w:pPr>
      <w:rPr>
        <w:rFonts w:hint="default"/>
      </w:rPr>
    </w:lvl>
    <w:lvl w:ilvl="2" w:tplc="4EAEDD94">
      <w:numFmt w:val="bullet"/>
      <w:lvlText w:val="•"/>
      <w:lvlJc w:val="left"/>
      <w:pPr>
        <w:ind w:left="2104" w:hanging="202"/>
      </w:pPr>
      <w:rPr>
        <w:rFonts w:hint="default"/>
      </w:rPr>
    </w:lvl>
    <w:lvl w:ilvl="3" w:tplc="213C48DE">
      <w:numFmt w:val="bullet"/>
      <w:lvlText w:val="•"/>
      <w:lvlJc w:val="left"/>
      <w:pPr>
        <w:ind w:left="3046" w:hanging="202"/>
      </w:pPr>
      <w:rPr>
        <w:rFonts w:hint="default"/>
      </w:rPr>
    </w:lvl>
    <w:lvl w:ilvl="4" w:tplc="C9068C8A">
      <w:numFmt w:val="bullet"/>
      <w:lvlText w:val="•"/>
      <w:lvlJc w:val="left"/>
      <w:pPr>
        <w:ind w:left="3988" w:hanging="202"/>
      </w:pPr>
      <w:rPr>
        <w:rFonts w:hint="default"/>
      </w:rPr>
    </w:lvl>
    <w:lvl w:ilvl="5" w:tplc="1A4C1700">
      <w:numFmt w:val="bullet"/>
      <w:lvlText w:val="•"/>
      <w:lvlJc w:val="left"/>
      <w:pPr>
        <w:ind w:left="4930" w:hanging="202"/>
      </w:pPr>
      <w:rPr>
        <w:rFonts w:hint="default"/>
      </w:rPr>
    </w:lvl>
    <w:lvl w:ilvl="6" w:tplc="B4605D56">
      <w:numFmt w:val="bullet"/>
      <w:lvlText w:val="•"/>
      <w:lvlJc w:val="left"/>
      <w:pPr>
        <w:ind w:left="5872" w:hanging="202"/>
      </w:pPr>
      <w:rPr>
        <w:rFonts w:hint="default"/>
      </w:rPr>
    </w:lvl>
    <w:lvl w:ilvl="7" w:tplc="1826B142">
      <w:numFmt w:val="bullet"/>
      <w:lvlText w:val="•"/>
      <w:lvlJc w:val="left"/>
      <w:pPr>
        <w:ind w:left="6814" w:hanging="202"/>
      </w:pPr>
      <w:rPr>
        <w:rFonts w:hint="default"/>
      </w:rPr>
    </w:lvl>
    <w:lvl w:ilvl="8" w:tplc="C0A87C48">
      <w:numFmt w:val="bullet"/>
      <w:lvlText w:val="•"/>
      <w:lvlJc w:val="left"/>
      <w:pPr>
        <w:ind w:left="7756" w:hanging="202"/>
      </w:pPr>
      <w:rPr>
        <w:rFonts w:hint="default"/>
      </w:rPr>
    </w:lvl>
  </w:abstractNum>
  <w:abstractNum w:abstractNumId="12" w15:restartNumberingAfterBreak="0">
    <w:nsid w:val="2CB14C99"/>
    <w:multiLevelType w:val="hybridMultilevel"/>
    <w:tmpl w:val="9510F6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17CC5"/>
    <w:multiLevelType w:val="multilevel"/>
    <w:tmpl w:val="5772329A"/>
    <w:lvl w:ilvl="0">
      <w:start w:val="4"/>
      <w:numFmt w:val="decimal"/>
      <w:lvlText w:val="%1."/>
      <w:lvlJc w:val="left"/>
      <w:pPr>
        <w:ind w:left="927" w:hanging="360"/>
      </w:pPr>
      <w:rPr>
        <w:rFonts w:hint="default"/>
      </w:rPr>
    </w:lvl>
    <w:lvl w:ilvl="1">
      <w:start w:val="2"/>
      <w:numFmt w:val="decimal"/>
      <w:isLgl/>
      <w:lvlText w:val="%1.%2"/>
      <w:lvlJc w:val="left"/>
      <w:pPr>
        <w:ind w:left="1127" w:hanging="5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033597A"/>
    <w:multiLevelType w:val="hybridMultilevel"/>
    <w:tmpl w:val="D478AFF2"/>
    <w:lvl w:ilvl="0" w:tplc="26FAA518">
      <w:start w:val="1"/>
      <w:numFmt w:val="bullet"/>
      <w:lvlText w:val=""/>
      <w:lvlJc w:val="left"/>
      <w:pPr>
        <w:ind w:left="720" w:hanging="360"/>
      </w:pPr>
      <w:rPr>
        <w:rFonts w:ascii="Symbol" w:hAnsi="Symbol" w:hint="default"/>
      </w:rPr>
    </w:lvl>
    <w:lvl w:ilvl="1" w:tplc="26FAA518">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2761F"/>
    <w:multiLevelType w:val="hybridMultilevel"/>
    <w:tmpl w:val="A5066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B4DDE"/>
    <w:multiLevelType w:val="hybridMultilevel"/>
    <w:tmpl w:val="E03E5B36"/>
    <w:lvl w:ilvl="0" w:tplc="991C6008">
      <w:numFmt w:val="bullet"/>
      <w:lvlText w:val="o"/>
      <w:lvlJc w:val="left"/>
      <w:pPr>
        <w:ind w:left="576" w:hanging="356"/>
      </w:pPr>
      <w:rPr>
        <w:rFonts w:ascii="Courier New" w:eastAsia="Courier New" w:hAnsi="Courier New" w:cs="Courier New" w:hint="default"/>
        <w:w w:val="100"/>
        <w:sz w:val="24"/>
        <w:szCs w:val="24"/>
      </w:rPr>
    </w:lvl>
    <w:lvl w:ilvl="1" w:tplc="91B0801C">
      <w:numFmt w:val="bullet"/>
      <w:lvlText w:val="•"/>
      <w:lvlJc w:val="left"/>
      <w:pPr>
        <w:ind w:left="1486" w:hanging="356"/>
      </w:pPr>
      <w:rPr>
        <w:rFonts w:hint="default"/>
      </w:rPr>
    </w:lvl>
    <w:lvl w:ilvl="2" w:tplc="12D25904">
      <w:numFmt w:val="bullet"/>
      <w:lvlText w:val="•"/>
      <w:lvlJc w:val="left"/>
      <w:pPr>
        <w:ind w:left="2392" w:hanging="356"/>
      </w:pPr>
      <w:rPr>
        <w:rFonts w:hint="default"/>
      </w:rPr>
    </w:lvl>
    <w:lvl w:ilvl="3" w:tplc="7996D134">
      <w:numFmt w:val="bullet"/>
      <w:lvlText w:val="•"/>
      <w:lvlJc w:val="left"/>
      <w:pPr>
        <w:ind w:left="3298" w:hanging="356"/>
      </w:pPr>
      <w:rPr>
        <w:rFonts w:hint="default"/>
      </w:rPr>
    </w:lvl>
    <w:lvl w:ilvl="4" w:tplc="6C7AEB42">
      <w:numFmt w:val="bullet"/>
      <w:lvlText w:val="•"/>
      <w:lvlJc w:val="left"/>
      <w:pPr>
        <w:ind w:left="4204" w:hanging="356"/>
      </w:pPr>
      <w:rPr>
        <w:rFonts w:hint="default"/>
      </w:rPr>
    </w:lvl>
    <w:lvl w:ilvl="5" w:tplc="D14CFE1E">
      <w:numFmt w:val="bullet"/>
      <w:lvlText w:val="•"/>
      <w:lvlJc w:val="left"/>
      <w:pPr>
        <w:ind w:left="5110" w:hanging="356"/>
      </w:pPr>
      <w:rPr>
        <w:rFonts w:hint="default"/>
      </w:rPr>
    </w:lvl>
    <w:lvl w:ilvl="6" w:tplc="59F6BDF0">
      <w:numFmt w:val="bullet"/>
      <w:lvlText w:val="•"/>
      <w:lvlJc w:val="left"/>
      <w:pPr>
        <w:ind w:left="6016" w:hanging="356"/>
      </w:pPr>
      <w:rPr>
        <w:rFonts w:hint="default"/>
      </w:rPr>
    </w:lvl>
    <w:lvl w:ilvl="7" w:tplc="506CC040">
      <w:numFmt w:val="bullet"/>
      <w:lvlText w:val="•"/>
      <w:lvlJc w:val="left"/>
      <w:pPr>
        <w:ind w:left="6922" w:hanging="356"/>
      </w:pPr>
      <w:rPr>
        <w:rFonts w:hint="default"/>
      </w:rPr>
    </w:lvl>
    <w:lvl w:ilvl="8" w:tplc="05A02E58">
      <w:numFmt w:val="bullet"/>
      <w:lvlText w:val="•"/>
      <w:lvlJc w:val="left"/>
      <w:pPr>
        <w:ind w:left="7828" w:hanging="356"/>
      </w:pPr>
      <w:rPr>
        <w:rFonts w:hint="default"/>
      </w:rPr>
    </w:lvl>
  </w:abstractNum>
  <w:abstractNum w:abstractNumId="17" w15:restartNumberingAfterBreak="0">
    <w:nsid w:val="38653A68"/>
    <w:multiLevelType w:val="hybridMultilevel"/>
    <w:tmpl w:val="B43AA158"/>
    <w:lvl w:ilvl="0" w:tplc="4DAADB42">
      <w:start w:val="1"/>
      <w:numFmt w:val="bullet"/>
      <w:pStyle w:val="ListDash"/>
      <w:lvlText w:val="­"/>
      <w:lvlJc w:val="left"/>
      <w:pPr>
        <w:ind w:left="-612" w:hanging="360"/>
      </w:pPr>
      <w:rPr>
        <w:rFonts w:ascii="Times New Roman" w:hAnsi="Times New Roman" w:cs="Times New Roman" w:hint="default"/>
      </w:rPr>
    </w:lvl>
    <w:lvl w:ilvl="1" w:tplc="04090003" w:tentative="1">
      <w:start w:val="1"/>
      <w:numFmt w:val="bullet"/>
      <w:lvlText w:val="o"/>
      <w:lvlJc w:val="left"/>
      <w:pPr>
        <w:ind w:left="108" w:hanging="360"/>
      </w:pPr>
      <w:rPr>
        <w:rFonts w:ascii="Courier New" w:hAnsi="Courier New" w:hint="default"/>
      </w:rPr>
    </w:lvl>
    <w:lvl w:ilvl="2" w:tplc="04090005" w:tentative="1">
      <w:start w:val="1"/>
      <w:numFmt w:val="bullet"/>
      <w:lvlText w:val=""/>
      <w:lvlJc w:val="left"/>
      <w:pPr>
        <w:ind w:left="828" w:hanging="360"/>
      </w:pPr>
      <w:rPr>
        <w:rFonts w:ascii="Wingdings" w:hAnsi="Wingdings" w:hint="default"/>
      </w:rPr>
    </w:lvl>
    <w:lvl w:ilvl="3" w:tplc="04090001" w:tentative="1">
      <w:start w:val="1"/>
      <w:numFmt w:val="bullet"/>
      <w:lvlText w:val=""/>
      <w:lvlJc w:val="left"/>
      <w:pPr>
        <w:ind w:left="1548" w:hanging="360"/>
      </w:pPr>
      <w:rPr>
        <w:rFonts w:ascii="Symbol" w:hAnsi="Symbol" w:hint="default"/>
      </w:rPr>
    </w:lvl>
    <w:lvl w:ilvl="4" w:tplc="04090003" w:tentative="1">
      <w:start w:val="1"/>
      <w:numFmt w:val="bullet"/>
      <w:lvlText w:val="o"/>
      <w:lvlJc w:val="left"/>
      <w:pPr>
        <w:ind w:left="2268" w:hanging="360"/>
      </w:pPr>
      <w:rPr>
        <w:rFonts w:ascii="Courier New" w:hAnsi="Courier New" w:hint="default"/>
      </w:rPr>
    </w:lvl>
    <w:lvl w:ilvl="5" w:tplc="04090005" w:tentative="1">
      <w:start w:val="1"/>
      <w:numFmt w:val="bullet"/>
      <w:lvlText w:val=""/>
      <w:lvlJc w:val="left"/>
      <w:pPr>
        <w:ind w:left="2988" w:hanging="360"/>
      </w:pPr>
      <w:rPr>
        <w:rFonts w:ascii="Wingdings" w:hAnsi="Wingdings" w:hint="default"/>
      </w:rPr>
    </w:lvl>
    <w:lvl w:ilvl="6" w:tplc="04090001" w:tentative="1">
      <w:start w:val="1"/>
      <w:numFmt w:val="bullet"/>
      <w:lvlText w:val=""/>
      <w:lvlJc w:val="left"/>
      <w:pPr>
        <w:ind w:left="3708" w:hanging="360"/>
      </w:pPr>
      <w:rPr>
        <w:rFonts w:ascii="Symbol" w:hAnsi="Symbol" w:hint="default"/>
      </w:rPr>
    </w:lvl>
    <w:lvl w:ilvl="7" w:tplc="04090003" w:tentative="1">
      <w:start w:val="1"/>
      <w:numFmt w:val="bullet"/>
      <w:lvlText w:val="o"/>
      <w:lvlJc w:val="left"/>
      <w:pPr>
        <w:ind w:left="4428" w:hanging="360"/>
      </w:pPr>
      <w:rPr>
        <w:rFonts w:ascii="Courier New" w:hAnsi="Courier New" w:hint="default"/>
      </w:rPr>
    </w:lvl>
    <w:lvl w:ilvl="8" w:tplc="04090005" w:tentative="1">
      <w:start w:val="1"/>
      <w:numFmt w:val="bullet"/>
      <w:lvlText w:val=""/>
      <w:lvlJc w:val="left"/>
      <w:pPr>
        <w:ind w:left="5148" w:hanging="360"/>
      </w:pPr>
      <w:rPr>
        <w:rFonts w:ascii="Wingdings" w:hAnsi="Wingdings" w:hint="default"/>
      </w:rPr>
    </w:lvl>
  </w:abstractNum>
  <w:abstractNum w:abstractNumId="18" w15:restartNumberingAfterBreak="0">
    <w:nsid w:val="3AF7458F"/>
    <w:multiLevelType w:val="multilevel"/>
    <w:tmpl w:val="97CC1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1979B8"/>
    <w:multiLevelType w:val="hybridMultilevel"/>
    <w:tmpl w:val="97AC21B2"/>
    <w:lvl w:ilvl="0" w:tplc="2F7ACD1C">
      <w:start w:val="1"/>
      <w:numFmt w:val="decimal"/>
      <w:lvlText w:val="%1)"/>
      <w:lvlJc w:val="left"/>
      <w:pPr>
        <w:ind w:left="633" w:hanging="356"/>
      </w:pPr>
      <w:rPr>
        <w:rFonts w:ascii="Arial" w:eastAsia="Arial" w:hAnsi="Arial" w:cs="Arial" w:hint="default"/>
        <w:spacing w:val="-6"/>
        <w:w w:val="100"/>
        <w:sz w:val="24"/>
        <w:szCs w:val="24"/>
      </w:rPr>
    </w:lvl>
    <w:lvl w:ilvl="1" w:tplc="46246844">
      <w:numFmt w:val="bullet"/>
      <w:lvlText w:val="•"/>
      <w:lvlJc w:val="left"/>
      <w:pPr>
        <w:ind w:left="1540" w:hanging="356"/>
      </w:pPr>
      <w:rPr>
        <w:rFonts w:hint="default"/>
      </w:rPr>
    </w:lvl>
    <w:lvl w:ilvl="2" w:tplc="907C4760">
      <w:numFmt w:val="bullet"/>
      <w:lvlText w:val="•"/>
      <w:lvlJc w:val="left"/>
      <w:pPr>
        <w:ind w:left="2440" w:hanging="356"/>
      </w:pPr>
      <w:rPr>
        <w:rFonts w:hint="default"/>
      </w:rPr>
    </w:lvl>
    <w:lvl w:ilvl="3" w:tplc="80A0054C">
      <w:numFmt w:val="bullet"/>
      <w:lvlText w:val="•"/>
      <w:lvlJc w:val="left"/>
      <w:pPr>
        <w:ind w:left="3340" w:hanging="356"/>
      </w:pPr>
      <w:rPr>
        <w:rFonts w:hint="default"/>
      </w:rPr>
    </w:lvl>
    <w:lvl w:ilvl="4" w:tplc="7254762C">
      <w:numFmt w:val="bullet"/>
      <w:lvlText w:val="•"/>
      <w:lvlJc w:val="left"/>
      <w:pPr>
        <w:ind w:left="4240" w:hanging="356"/>
      </w:pPr>
      <w:rPr>
        <w:rFonts w:hint="default"/>
      </w:rPr>
    </w:lvl>
    <w:lvl w:ilvl="5" w:tplc="E2C2AF5C">
      <w:numFmt w:val="bullet"/>
      <w:lvlText w:val="•"/>
      <w:lvlJc w:val="left"/>
      <w:pPr>
        <w:ind w:left="5140" w:hanging="356"/>
      </w:pPr>
      <w:rPr>
        <w:rFonts w:hint="default"/>
      </w:rPr>
    </w:lvl>
    <w:lvl w:ilvl="6" w:tplc="E878C44A">
      <w:numFmt w:val="bullet"/>
      <w:lvlText w:val="•"/>
      <w:lvlJc w:val="left"/>
      <w:pPr>
        <w:ind w:left="6040" w:hanging="356"/>
      </w:pPr>
      <w:rPr>
        <w:rFonts w:hint="default"/>
      </w:rPr>
    </w:lvl>
    <w:lvl w:ilvl="7" w:tplc="0806491E">
      <w:numFmt w:val="bullet"/>
      <w:lvlText w:val="•"/>
      <w:lvlJc w:val="left"/>
      <w:pPr>
        <w:ind w:left="6940" w:hanging="356"/>
      </w:pPr>
      <w:rPr>
        <w:rFonts w:hint="default"/>
      </w:rPr>
    </w:lvl>
    <w:lvl w:ilvl="8" w:tplc="98C2E904">
      <w:numFmt w:val="bullet"/>
      <w:lvlText w:val="•"/>
      <w:lvlJc w:val="left"/>
      <w:pPr>
        <w:ind w:left="7840" w:hanging="356"/>
      </w:pPr>
      <w:rPr>
        <w:rFonts w:hint="default"/>
      </w:rPr>
    </w:lvl>
  </w:abstractNum>
  <w:abstractNum w:abstractNumId="20" w15:restartNumberingAfterBreak="0">
    <w:nsid w:val="3D7619B7"/>
    <w:multiLevelType w:val="hybridMultilevel"/>
    <w:tmpl w:val="88DE2E18"/>
    <w:lvl w:ilvl="0" w:tplc="980EE1CE">
      <w:start w:val="1"/>
      <w:numFmt w:val="lowerLetter"/>
      <w:lvlText w:val="(%1)"/>
      <w:lvlJc w:val="left"/>
      <w:pPr>
        <w:ind w:left="619" w:hanging="370"/>
      </w:pPr>
      <w:rPr>
        <w:rFonts w:ascii="Arial" w:eastAsia="Arial" w:hAnsi="Arial" w:cs="Arial" w:hint="default"/>
        <w:spacing w:val="0"/>
        <w:w w:val="100"/>
        <w:sz w:val="24"/>
        <w:szCs w:val="24"/>
      </w:rPr>
    </w:lvl>
    <w:lvl w:ilvl="1" w:tplc="3594E25C">
      <w:numFmt w:val="bullet"/>
      <w:lvlText w:val="•"/>
      <w:lvlJc w:val="left"/>
      <w:pPr>
        <w:ind w:left="1522" w:hanging="370"/>
      </w:pPr>
      <w:rPr>
        <w:rFonts w:hint="default"/>
      </w:rPr>
    </w:lvl>
    <w:lvl w:ilvl="2" w:tplc="A08EFECE">
      <w:numFmt w:val="bullet"/>
      <w:lvlText w:val="•"/>
      <w:lvlJc w:val="left"/>
      <w:pPr>
        <w:ind w:left="2424" w:hanging="370"/>
      </w:pPr>
      <w:rPr>
        <w:rFonts w:hint="default"/>
      </w:rPr>
    </w:lvl>
    <w:lvl w:ilvl="3" w:tplc="F092D8D0">
      <w:numFmt w:val="bullet"/>
      <w:lvlText w:val="•"/>
      <w:lvlJc w:val="left"/>
      <w:pPr>
        <w:ind w:left="3326" w:hanging="370"/>
      </w:pPr>
      <w:rPr>
        <w:rFonts w:hint="default"/>
      </w:rPr>
    </w:lvl>
    <w:lvl w:ilvl="4" w:tplc="4AAC37C0">
      <w:numFmt w:val="bullet"/>
      <w:lvlText w:val="•"/>
      <w:lvlJc w:val="left"/>
      <w:pPr>
        <w:ind w:left="4228" w:hanging="370"/>
      </w:pPr>
      <w:rPr>
        <w:rFonts w:hint="default"/>
      </w:rPr>
    </w:lvl>
    <w:lvl w:ilvl="5" w:tplc="23BC5832">
      <w:numFmt w:val="bullet"/>
      <w:lvlText w:val="•"/>
      <w:lvlJc w:val="left"/>
      <w:pPr>
        <w:ind w:left="5130" w:hanging="370"/>
      </w:pPr>
      <w:rPr>
        <w:rFonts w:hint="default"/>
      </w:rPr>
    </w:lvl>
    <w:lvl w:ilvl="6" w:tplc="F79A5ACA">
      <w:numFmt w:val="bullet"/>
      <w:lvlText w:val="•"/>
      <w:lvlJc w:val="left"/>
      <w:pPr>
        <w:ind w:left="6032" w:hanging="370"/>
      </w:pPr>
      <w:rPr>
        <w:rFonts w:hint="default"/>
      </w:rPr>
    </w:lvl>
    <w:lvl w:ilvl="7" w:tplc="90268BE8">
      <w:numFmt w:val="bullet"/>
      <w:lvlText w:val="•"/>
      <w:lvlJc w:val="left"/>
      <w:pPr>
        <w:ind w:left="6934" w:hanging="370"/>
      </w:pPr>
      <w:rPr>
        <w:rFonts w:hint="default"/>
      </w:rPr>
    </w:lvl>
    <w:lvl w:ilvl="8" w:tplc="CFF0CAD8">
      <w:numFmt w:val="bullet"/>
      <w:lvlText w:val="•"/>
      <w:lvlJc w:val="left"/>
      <w:pPr>
        <w:ind w:left="7836" w:hanging="370"/>
      </w:pPr>
      <w:rPr>
        <w:rFonts w:hint="default"/>
      </w:rPr>
    </w:lvl>
  </w:abstractNum>
  <w:abstractNum w:abstractNumId="21" w15:restartNumberingAfterBreak="0">
    <w:nsid w:val="3DE07984"/>
    <w:multiLevelType w:val="hybridMultilevel"/>
    <w:tmpl w:val="449A31C8"/>
    <w:lvl w:ilvl="0" w:tplc="49E2D7AC">
      <w:numFmt w:val="bullet"/>
      <w:lvlText w:val="-"/>
      <w:lvlJc w:val="left"/>
      <w:pPr>
        <w:ind w:left="221" w:hanging="159"/>
      </w:pPr>
      <w:rPr>
        <w:rFonts w:ascii="Arial" w:eastAsia="Arial" w:hAnsi="Arial" w:cs="Arial" w:hint="default"/>
        <w:w w:val="100"/>
        <w:sz w:val="24"/>
        <w:szCs w:val="24"/>
      </w:rPr>
    </w:lvl>
    <w:lvl w:ilvl="1" w:tplc="8166C964">
      <w:numFmt w:val="bullet"/>
      <w:lvlText w:val="•"/>
      <w:lvlJc w:val="left"/>
      <w:pPr>
        <w:ind w:left="1162" w:hanging="159"/>
      </w:pPr>
      <w:rPr>
        <w:rFonts w:hint="default"/>
      </w:rPr>
    </w:lvl>
    <w:lvl w:ilvl="2" w:tplc="8FA643D8">
      <w:numFmt w:val="bullet"/>
      <w:lvlText w:val="•"/>
      <w:lvlJc w:val="left"/>
      <w:pPr>
        <w:ind w:left="2104" w:hanging="159"/>
      </w:pPr>
      <w:rPr>
        <w:rFonts w:hint="default"/>
      </w:rPr>
    </w:lvl>
    <w:lvl w:ilvl="3" w:tplc="3712F478">
      <w:numFmt w:val="bullet"/>
      <w:lvlText w:val="•"/>
      <w:lvlJc w:val="left"/>
      <w:pPr>
        <w:ind w:left="3046" w:hanging="159"/>
      </w:pPr>
      <w:rPr>
        <w:rFonts w:hint="default"/>
      </w:rPr>
    </w:lvl>
    <w:lvl w:ilvl="4" w:tplc="4FB65B42">
      <w:numFmt w:val="bullet"/>
      <w:lvlText w:val="•"/>
      <w:lvlJc w:val="left"/>
      <w:pPr>
        <w:ind w:left="3988" w:hanging="159"/>
      </w:pPr>
      <w:rPr>
        <w:rFonts w:hint="default"/>
      </w:rPr>
    </w:lvl>
    <w:lvl w:ilvl="5" w:tplc="8184362C">
      <w:numFmt w:val="bullet"/>
      <w:lvlText w:val="•"/>
      <w:lvlJc w:val="left"/>
      <w:pPr>
        <w:ind w:left="4930" w:hanging="159"/>
      </w:pPr>
      <w:rPr>
        <w:rFonts w:hint="default"/>
      </w:rPr>
    </w:lvl>
    <w:lvl w:ilvl="6" w:tplc="B2BECB6C">
      <w:numFmt w:val="bullet"/>
      <w:lvlText w:val="•"/>
      <w:lvlJc w:val="left"/>
      <w:pPr>
        <w:ind w:left="5872" w:hanging="159"/>
      </w:pPr>
      <w:rPr>
        <w:rFonts w:hint="default"/>
      </w:rPr>
    </w:lvl>
    <w:lvl w:ilvl="7" w:tplc="988E10BE">
      <w:numFmt w:val="bullet"/>
      <w:lvlText w:val="•"/>
      <w:lvlJc w:val="left"/>
      <w:pPr>
        <w:ind w:left="6814" w:hanging="159"/>
      </w:pPr>
      <w:rPr>
        <w:rFonts w:hint="default"/>
      </w:rPr>
    </w:lvl>
    <w:lvl w:ilvl="8" w:tplc="BB343F76">
      <w:numFmt w:val="bullet"/>
      <w:lvlText w:val="•"/>
      <w:lvlJc w:val="left"/>
      <w:pPr>
        <w:ind w:left="7756" w:hanging="159"/>
      </w:pPr>
      <w:rPr>
        <w:rFonts w:hint="default"/>
      </w:rPr>
    </w:lvl>
  </w:abstractNum>
  <w:abstractNum w:abstractNumId="22" w15:restartNumberingAfterBreak="0">
    <w:nsid w:val="3F26647B"/>
    <w:multiLevelType w:val="hybridMultilevel"/>
    <w:tmpl w:val="243ECFD8"/>
    <w:lvl w:ilvl="0" w:tplc="24343092">
      <w:start w:val="1"/>
      <w:numFmt w:val="decimal"/>
      <w:lvlText w:val="%1)"/>
      <w:lvlJc w:val="left"/>
      <w:pPr>
        <w:ind w:left="581" w:hanging="360"/>
      </w:pPr>
      <w:rPr>
        <w:rFonts w:ascii="Arial" w:eastAsia="Arial" w:hAnsi="Arial" w:cs="Arial" w:hint="default"/>
        <w:spacing w:val="-34"/>
        <w:w w:val="100"/>
        <w:sz w:val="24"/>
        <w:szCs w:val="24"/>
      </w:rPr>
    </w:lvl>
    <w:lvl w:ilvl="1" w:tplc="C9926752">
      <w:numFmt w:val="bullet"/>
      <w:lvlText w:val="•"/>
      <w:lvlJc w:val="left"/>
      <w:pPr>
        <w:ind w:left="1486" w:hanging="360"/>
      </w:pPr>
      <w:rPr>
        <w:rFonts w:hint="default"/>
      </w:rPr>
    </w:lvl>
    <w:lvl w:ilvl="2" w:tplc="13D08722">
      <w:numFmt w:val="bullet"/>
      <w:lvlText w:val="•"/>
      <w:lvlJc w:val="left"/>
      <w:pPr>
        <w:ind w:left="2392" w:hanging="360"/>
      </w:pPr>
      <w:rPr>
        <w:rFonts w:hint="default"/>
      </w:rPr>
    </w:lvl>
    <w:lvl w:ilvl="3" w:tplc="A1E09508">
      <w:numFmt w:val="bullet"/>
      <w:lvlText w:val="•"/>
      <w:lvlJc w:val="left"/>
      <w:pPr>
        <w:ind w:left="3298" w:hanging="360"/>
      </w:pPr>
      <w:rPr>
        <w:rFonts w:hint="default"/>
      </w:rPr>
    </w:lvl>
    <w:lvl w:ilvl="4" w:tplc="DC68FCA8">
      <w:numFmt w:val="bullet"/>
      <w:lvlText w:val="•"/>
      <w:lvlJc w:val="left"/>
      <w:pPr>
        <w:ind w:left="4204" w:hanging="360"/>
      </w:pPr>
      <w:rPr>
        <w:rFonts w:hint="default"/>
      </w:rPr>
    </w:lvl>
    <w:lvl w:ilvl="5" w:tplc="3B521BFC">
      <w:numFmt w:val="bullet"/>
      <w:lvlText w:val="•"/>
      <w:lvlJc w:val="left"/>
      <w:pPr>
        <w:ind w:left="5110" w:hanging="360"/>
      </w:pPr>
      <w:rPr>
        <w:rFonts w:hint="default"/>
      </w:rPr>
    </w:lvl>
    <w:lvl w:ilvl="6" w:tplc="D7662702">
      <w:numFmt w:val="bullet"/>
      <w:lvlText w:val="•"/>
      <w:lvlJc w:val="left"/>
      <w:pPr>
        <w:ind w:left="6016" w:hanging="360"/>
      </w:pPr>
      <w:rPr>
        <w:rFonts w:hint="default"/>
      </w:rPr>
    </w:lvl>
    <w:lvl w:ilvl="7" w:tplc="CBC03ED6">
      <w:numFmt w:val="bullet"/>
      <w:lvlText w:val="•"/>
      <w:lvlJc w:val="left"/>
      <w:pPr>
        <w:ind w:left="6922" w:hanging="360"/>
      </w:pPr>
      <w:rPr>
        <w:rFonts w:hint="default"/>
      </w:rPr>
    </w:lvl>
    <w:lvl w:ilvl="8" w:tplc="E74A80E6">
      <w:numFmt w:val="bullet"/>
      <w:lvlText w:val="•"/>
      <w:lvlJc w:val="left"/>
      <w:pPr>
        <w:ind w:left="7828" w:hanging="360"/>
      </w:pPr>
      <w:rPr>
        <w:rFonts w:hint="default"/>
      </w:rPr>
    </w:lvl>
  </w:abstractNum>
  <w:abstractNum w:abstractNumId="23" w15:restartNumberingAfterBreak="0">
    <w:nsid w:val="403A20C2"/>
    <w:multiLevelType w:val="hybridMultilevel"/>
    <w:tmpl w:val="E53E1BEE"/>
    <w:lvl w:ilvl="0" w:tplc="BC98AF1E">
      <w:start w:val="70"/>
      <w:numFmt w:val="decimal"/>
      <w:lvlText w:val="%1"/>
      <w:lvlJc w:val="left"/>
      <w:pPr>
        <w:ind w:left="422" w:hanging="202"/>
      </w:pPr>
      <w:rPr>
        <w:rFonts w:ascii="Arial" w:eastAsia="Arial" w:hAnsi="Arial" w:cs="Arial" w:hint="default"/>
        <w:spacing w:val="-1"/>
        <w:w w:val="99"/>
        <w:position w:val="7"/>
        <w:sz w:val="13"/>
        <w:szCs w:val="13"/>
      </w:rPr>
    </w:lvl>
    <w:lvl w:ilvl="1" w:tplc="8A2C657A">
      <w:numFmt w:val="bullet"/>
      <w:lvlText w:val="•"/>
      <w:lvlJc w:val="left"/>
      <w:pPr>
        <w:ind w:left="1342" w:hanging="202"/>
      </w:pPr>
      <w:rPr>
        <w:rFonts w:hint="default"/>
      </w:rPr>
    </w:lvl>
    <w:lvl w:ilvl="2" w:tplc="7F568032">
      <w:numFmt w:val="bullet"/>
      <w:lvlText w:val="•"/>
      <w:lvlJc w:val="left"/>
      <w:pPr>
        <w:ind w:left="2264" w:hanging="202"/>
      </w:pPr>
      <w:rPr>
        <w:rFonts w:hint="default"/>
      </w:rPr>
    </w:lvl>
    <w:lvl w:ilvl="3" w:tplc="77CC7264">
      <w:numFmt w:val="bullet"/>
      <w:lvlText w:val="•"/>
      <w:lvlJc w:val="left"/>
      <w:pPr>
        <w:ind w:left="3186" w:hanging="202"/>
      </w:pPr>
      <w:rPr>
        <w:rFonts w:hint="default"/>
      </w:rPr>
    </w:lvl>
    <w:lvl w:ilvl="4" w:tplc="04A0F148">
      <w:numFmt w:val="bullet"/>
      <w:lvlText w:val="•"/>
      <w:lvlJc w:val="left"/>
      <w:pPr>
        <w:ind w:left="4108" w:hanging="202"/>
      </w:pPr>
      <w:rPr>
        <w:rFonts w:hint="default"/>
      </w:rPr>
    </w:lvl>
    <w:lvl w:ilvl="5" w:tplc="15CEC34E">
      <w:numFmt w:val="bullet"/>
      <w:lvlText w:val="•"/>
      <w:lvlJc w:val="left"/>
      <w:pPr>
        <w:ind w:left="5030" w:hanging="202"/>
      </w:pPr>
      <w:rPr>
        <w:rFonts w:hint="default"/>
      </w:rPr>
    </w:lvl>
    <w:lvl w:ilvl="6" w:tplc="404C25BE">
      <w:numFmt w:val="bullet"/>
      <w:lvlText w:val="•"/>
      <w:lvlJc w:val="left"/>
      <w:pPr>
        <w:ind w:left="5952" w:hanging="202"/>
      </w:pPr>
      <w:rPr>
        <w:rFonts w:hint="default"/>
      </w:rPr>
    </w:lvl>
    <w:lvl w:ilvl="7" w:tplc="4E9C0DD2">
      <w:numFmt w:val="bullet"/>
      <w:lvlText w:val="•"/>
      <w:lvlJc w:val="left"/>
      <w:pPr>
        <w:ind w:left="6874" w:hanging="202"/>
      </w:pPr>
      <w:rPr>
        <w:rFonts w:hint="default"/>
      </w:rPr>
    </w:lvl>
    <w:lvl w:ilvl="8" w:tplc="6CF091C8">
      <w:numFmt w:val="bullet"/>
      <w:lvlText w:val="•"/>
      <w:lvlJc w:val="left"/>
      <w:pPr>
        <w:ind w:left="7796" w:hanging="202"/>
      </w:pPr>
      <w:rPr>
        <w:rFonts w:hint="default"/>
      </w:rPr>
    </w:lvl>
  </w:abstractNum>
  <w:abstractNum w:abstractNumId="24" w15:restartNumberingAfterBreak="0">
    <w:nsid w:val="416C134A"/>
    <w:multiLevelType w:val="hybridMultilevel"/>
    <w:tmpl w:val="55DC40A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311EE6"/>
    <w:multiLevelType w:val="hybridMultilevel"/>
    <w:tmpl w:val="6F8E02DE"/>
    <w:lvl w:ilvl="0" w:tplc="10724F0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AC7700"/>
    <w:multiLevelType w:val="hybridMultilevel"/>
    <w:tmpl w:val="1186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026EC"/>
    <w:multiLevelType w:val="multilevel"/>
    <w:tmpl w:val="34900130"/>
    <w:lvl w:ilvl="0">
      <w:start w:val="3"/>
      <w:numFmt w:val="decimal"/>
      <w:lvlText w:val="%1"/>
      <w:lvlJc w:val="left"/>
      <w:pPr>
        <w:ind w:left="221" w:hanging="351"/>
      </w:pPr>
      <w:rPr>
        <w:rFonts w:hint="default"/>
        <w:spacing w:val="-5"/>
        <w:w w:val="100"/>
      </w:rPr>
    </w:lvl>
    <w:lvl w:ilvl="1">
      <w:start w:val="1"/>
      <w:numFmt w:val="decimal"/>
      <w:lvlText w:val="%1.%2"/>
      <w:lvlJc w:val="left"/>
      <w:pPr>
        <w:ind w:left="787" w:hanging="567"/>
      </w:pPr>
      <w:rPr>
        <w:rFonts w:ascii="Arial" w:eastAsia="Arial" w:hAnsi="Arial" w:cs="Arial" w:hint="default"/>
        <w:b/>
        <w:bCs/>
        <w:spacing w:val="-5"/>
        <w:w w:val="100"/>
        <w:sz w:val="24"/>
        <w:szCs w:val="24"/>
      </w:rPr>
    </w:lvl>
    <w:lvl w:ilvl="2">
      <w:start w:val="1"/>
      <w:numFmt w:val="decimal"/>
      <w:lvlText w:val="%1.%2.%3"/>
      <w:lvlJc w:val="left"/>
      <w:pPr>
        <w:ind w:left="941" w:hanging="720"/>
      </w:pPr>
      <w:rPr>
        <w:rFonts w:ascii="Arial" w:eastAsia="Arial" w:hAnsi="Arial" w:cs="Arial" w:hint="default"/>
        <w:spacing w:val="-17"/>
        <w:w w:val="100"/>
        <w:sz w:val="24"/>
        <w:szCs w:val="24"/>
      </w:rPr>
    </w:lvl>
    <w:lvl w:ilvl="3">
      <w:numFmt w:val="bullet"/>
      <w:lvlText w:val="•"/>
      <w:lvlJc w:val="left"/>
      <w:pPr>
        <w:ind w:left="2027" w:hanging="720"/>
      </w:pPr>
      <w:rPr>
        <w:rFonts w:hint="default"/>
      </w:rPr>
    </w:lvl>
    <w:lvl w:ilvl="4">
      <w:numFmt w:val="bullet"/>
      <w:lvlText w:val="•"/>
      <w:lvlJc w:val="left"/>
      <w:pPr>
        <w:ind w:left="3115" w:hanging="720"/>
      </w:pPr>
      <w:rPr>
        <w:rFonts w:hint="default"/>
      </w:rPr>
    </w:lvl>
    <w:lvl w:ilvl="5">
      <w:numFmt w:val="bullet"/>
      <w:lvlText w:val="•"/>
      <w:lvlJc w:val="left"/>
      <w:pPr>
        <w:ind w:left="4202" w:hanging="720"/>
      </w:pPr>
      <w:rPr>
        <w:rFonts w:hint="default"/>
      </w:rPr>
    </w:lvl>
    <w:lvl w:ilvl="6">
      <w:numFmt w:val="bullet"/>
      <w:lvlText w:val="•"/>
      <w:lvlJc w:val="left"/>
      <w:pPr>
        <w:ind w:left="5290" w:hanging="720"/>
      </w:pPr>
      <w:rPr>
        <w:rFonts w:hint="default"/>
      </w:rPr>
    </w:lvl>
    <w:lvl w:ilvl="7">
      <w:numFmt w:val="bullet"/>
      <w:lvlText w:val="•"/>
      <w:lvlJc w:val="left"/>
      <w:pPr>
        <w:ind w:left="6377" w:hanging="720"/>
      </w:pPr>
      <w:rPr>
        <w:rFonts w:hint="default"/>
      </w:rPr>
    </w:lvl>
    <w:lvl w:ilvl="8">
      <w:numFmt w:val="bullet"/>
      <w:lvlText w:val="•"/>
      <w:lvlJc w:val="left"/>
      <w:pPr>
        <w:ind w:left="7465" w:hanging="720"/>
      </w:pPr>
      <w:rPr>
        <w:rFonts w:hint="default"/>
      </w:rPr>
    </w:lvl>
  </w:abstractNum>
  <w:abstractNum w:abstractNumId="28" w15:restartNumberingAfterBreak="0">
    <w:nsid w:val="4DD76DEC"/>
    <w:multiLevelType w:val="hybridMultilevel"/>
    <w:tmpl w:val="4B08F45A"/>
    <w:lvl w:ilvl="0" w:tplc="B4583044">
      <w:numFmt w:val="bullet"/>
      <w:pStyle w:val="ListParagraph"/>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56900"/>
    <w:multiLevelType w:val="hybridMultilevel"/>
    <w:tmpl w:val="EBAA93E2"/>
    <w:lvl w:ilvl="0" w:tplc="4FE0CB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5E089A"/>
    <w:multiLevelType w:val="multilevel"/>
    <w:tmpl w:val="8B88865E"/>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A62572"/>
    <w:multiLevelType w:val="multilevel"/>
    <w:tmpl w:val="DF985DF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851931"/>
    <w:multiLevelType w:val="hybridMultilevel"/>
    <w:tmpl w:val="EBD4AFE2"/>
    <w:lvl w:ilvl="0" w:tplc="6FF21F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60A45193"/>
    <w:multiLevelType w:val="hybridMultilevel"/>
    <w:tmpl w:val="58308CEA"/>
    <w:lvl w:ilvl="0" w:tplc="26FAA5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F533B0"/>
    <w:multiLevelType w:val="hybridMultilevel"/>
    <w:tmpl w:val="E7B006D2"/>
    <w:lvl w:ilvl="0" w:tplc="B7C8FE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F5BC0"/>
    <w:multiLevelType w:val="hybridMultilevel"/>
    <w:tmpl w:val="F0AEFB24"/>
    <w:lvl w:ilvl="0" w:tplc="9DB6D3A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0F357E"/>
    <w:multiLevelType w:val="hybridMultilevel"/>
    <w:tmpl w:val="638EB332"/>
    <w:lvl w:ilvl="0" w:tplc="EA2C225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996FCF"/>
    <w:multiLevelType w:val="multilevel"/>
    <w:tmpl w:val="EF727312"/>
    <w:lvl w:ilvl="0">
      <w:start w:val="1"/>
      <w:numFmt w:val="decimal"/>
      <w:lvlText w:val="%1"/>
      <w:lvlJc w:val="left"/>
      <w:pPr>
        <w:ind w:left="787" w:hanging="567"/>
      </w:pPr>
      <w:rPr>
        <w:rFonts w:ascii="Arial" w:eastAsia="Arial" w:hAnsi="Arial" w:cs="Arial" w:hint="default"/>
        <w:spacing w:val="-5"/>
        <w:w w:val="100"/>
        <w:sz w:val="24"/>
        <w:szCs w:val="24"/>
      </w:rPr>
    </w:lvl>
    <w:lvl w:ilvl="1">
      <w:start w:val="1"/>
      <w:numFmt w:val="decimal"/>
      <w:lvlText w:val="%1.%2"/>
      <w:lvlJc w:val="left"/>
      <w:pPr>
        <w:ind w:left="1353" w:hanging="567"/>
      </w:pPr>
      <w:rPr>
        <w:rFonts w:ascii="Arial" w:eastAsia="Arial" w:hAnsi="Arial" w:cs="Arial" w:hint="default"/>
        <w:spacing w:val="-17"/>
        <w:w w:val="100"/>
        <w:sz w:val="24"/>
        <w:szCs w:val="24"/>
      </w:rPr>
    </w:lvl>
    <w:lvl w:ilvl="2">
      <w:numFmt w:val="bullet"/>
      <w:lvlText w:val="•"/>
      <w:lvlJc w:val="left"/>
      <w:pPr>
        <w:ind w:left="2280" w:hanging="567"/>
      </w:pPr>
      <w:rPr>
        <w:rFonts w:hint="default"/>
      </w:rPr>
    </w:lvl>
    <w:lvl w:ilvl="3">
      <w:numFmt w:val="bullet"/>
      <w:lvlText w:val="•"/>
      <w:lvlJc w:val="left"/>
      <w:pPr>
        <w:ind w:left="3200" w:hanging="567"/>
      </w:pPr>
      <w:rPr>
        <w:rFonts w:hint="default"/>
      </w:rPr>
    </w:lvl>
    <w:lvl w:ilvl="4">
      <w:numFmt w:val="bullet"/>
      <w:lvlText w:val="•"/>
      <w:lvlJc w:val="left"/>
      <w:pPr>
        <w:ind w:left="4120" w:hanging="567"/>
      </w:pPr>
      <w:rPr>
        <w:rFonts w:hint="default"/>
      </w:rPr>
    </w:lvl>
    <w:lvl w:ilvl="5">
      <w:numFmt w:val="bullet"/>
      <w:lvlText w:val="•"/>
      <w:lvlJc w:val="left"/>
      <w:pPr>
        <w:ind w:left="5040" w:hanging="567"/>
      </w:pPr>
      <w:rPr>
        <w:rFonts w:hint="default"/>
      </w:rPr>
    </w:lvl>
    <w:lvl w:ilvl="6">
      <w:numFmt w:val="bullet"/>
      <w:lvlText w:val="•"/>
      <w:lvlJc w:val="left"/>
      <w:pPr>
        <w:ind w:left="5960" w:hanging="567"/>
      </w:pPr>
      <w:rPr>
        <w:rFonts w:hint="default"/>
      </w:rPr>
    </w:lvl>
    <w:lvl w:ilvl="7">
      <w:numFmt w:val="bullet"/>
      <w:lvlText w:val="•"/>
      <w:lvlJc w:val="left"/>
      <w:pPr>
        <w:ind w:left="6880" w:hanging="567"/>
      </w:pPr>
      <w:rPr>
        <w:rFonts w:hint="default"/>
      </w:rPr>
    </w:lvl>
    <w:lvl w:ilvl="8">
      <w:numFmt w:val="bullet"/>
      <w:lvlText w:val="•"/>
      <w:lvlJc w:val="left"/>
      <w:pPr>
        <w:ind w:left="7800" w:hanging="567"/>
      </w:pPr>
      <w:rPr>
        <w:rFonts w:hint="default"/>
      </w:rPr>
    </w:lvl>
  </w:abstractNum>
  <w:abstractNum w:abstractNumId="38" w15:restartNumberingAfterBreak="0">
    <w:nsid w:val="72DB1068"/>
    <w:multiLevelType w:val="hybridMultilevel"/>
    <w:tmpl w:val="6FA8F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4B224B"/>
    <w:multiLevelType w:val="multilevel"/>
    <w:tmpl w:val="7FBE25E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2"/>
  </w:num>
  <w:num w:numId="2">
    <w:abstractNumId w:val="0"/>
  </w:num>
  <w:num w:numId="3">
    <w:abstractNumId w:val="0"/>
  </w:num>
  <w:num w:numId="4">
    <w:abstractNumId w:val="0"/>
  </w:num>
  <w:num w:numId="5">
    <w:abstractNumId w:val="0"/>
  </w:num>
  <w:num w:numId="6">
    <w:abstractNumId w:val="17"/>
  </w:num>
  <w:num w:numId="7">
    <w:abstractNumId w:val="38"/>
  </w:num>
  <w:num w:numId="8">
    <w:abstractNumId w:val="34"/>
  </w:num>
  <w:num w:numId="9">
    <w:abstractNumId w:val="36"/>
  </w:num>
  <w:num w:numId="10">
    <w:abstractNumId w:val="3"/>
  </w:num>
  <w:num w:numId="11">
    <w:abstractNumId w:val="7"/>
  </w:num>
  <w:num w:numId="12">
    <w:abstractNumId w:val="0"/>
    <w:lvlOverride w:ilvl="0">
      <w:startOverride w:val="1"/>
    </w:lvlOverride>
    <w:lvlOverride w:ilvl="1">
      <w:startOverride w:val="1"/>
    </w:lvlOverride>
  </w:num>
  <w:num w:numId="13">
    <w:abstractNumId w:val="29"/>
  </w:num>
  <w:num w:numId="14">
    <w:abstractNumId w:val="31"/>
  </w:num>
  <w:num w:numId="15">
    <w:abstractNumId w:val="35"/>
  </w:num>
  <w:num w:numId="16">
    <w:abstractNumId w:val="14"/>
  </w:num>
  <w:num w:numId="17">
    <w:abstractNumId w:val="18"/>
  </w:num>
  <w:num w:numId="18">
    <w:abstractNumId w:val="33"/>
  </w:num>
  <w:num w:numId="19">
    <w:abstractNumId w:val="30"/>
  </w:num>
  <w:num w:numId="20">
    <w:abstractNumId w:val="8"/>
  </w:num>
  <w:num w:numId="21">
    <w:abstractNumId w:val="39"/>
  </w:num>
  <w:num w:numId="22">
    <w:abstractNumId w:val="13"/>
  </w:num>
  <w:num w:numId="23">
    <w:abstractNumId w:val="39"/>
    <w:lvlOverride w:ilvl="0">
      <w:startOverride w:val="5"/>
    </w:lvlOverride>
  </w:num>
  <w:num w:numId="24">
    <w:abstractNumId w:val="15"/>
  </w:num>
  <w:num w:numId="25">
    <w:abstractNumId w:val="25"/>
  </w:num>
  <w:num w:numId="26">
    <w:abstractNumId w:val="2"/>
  </w:num>
  <w:num w:numId="27">
    <w:abstractNumId w:val="12"/>
  </w:num>
  <w:num w:numId="28">
    <w:abstractNumId w:val="16"/>
  </w:num>
  <w:num w:numId="29">
    <w:abstractNumId w:val="10"/>
  </w:num>
  <w:num w:numId="30">
    <w:abstractNumId w:val="22"/>
  </w:num>
  <w:num w:numId="31">
    <w:abstractNumId w:val="27"/>
  </w:num>
  <w:num w:numId="32">
    <w:abstractNumId w:val="23"/>
  </w:num>
  <w:num w:numId="33">
    <w:abstractNumId w:val="4"/>
  </w:num>
  <w:num w:numId="34">
    <w:abstractNumId w:val="21"/>
  </w:num>
  <w:num w:numId="35">
    <w:abstractNumId w:val="1"/>
  </w:num>
  <w:num w:numId="36">
    <w:abstractNumId w:val="5"/>
  </w:num>
  <w:num w:numId="37">
    <w:abstractNumId w:val="11"/>
  </w:num>
  <w:num w:numId="38">
    <w:abstractNumId w:val="9"/>
  </w:num>
  <w:num w:numId="39">
    <w:abstractNumId w:val="6"/>
  </w:num>
  <w:num w:numId="40">
    <w:abstractNumId w:val="20"/>
  </w:num>
  <w:num w:numId="41">
    <w:abstractNumId w:val="19"/>
  </w:num>
  <w:num w:numId="42">
    <w:abstractNumId w:val="37"/>
  </w:num>
  <w:num w:numId="43">
    <w:abstractNumId w:val="24"/>
  </w:num>
  <w:num w:numId="44">
    <w:abstractNumId w:val="26"/>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1229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A8"/>
    <w:rsid w:val="000119DC"/>
    <w:rsid w:val="0001301D"/>
    <w:rsid w:val="0002056F"/>
    <w:rsid w:val="000230FB"/>
    <w:rsid w:val="00023549"/>
    <w:rsid w:val="00023B80"/>
    <w:rsid w:val="00031EEA"/>
    <w:rsid w:val="00032BD4"/>
    <w:rsid w:val="00032EBD"/>
    <w:rsid w:val="00034BDC"/>
    <w:rsid w:val="000356A9"/>
    <w:rsid w:val="00035CD4"/>
    <w:rsid w:val="000370D3"/>
    <w:rsid w:val="0004157F"/>
    <w:rsid w:val="0004604B"/>
    <w:rsid w:val="00046790"/>
    <w:rsid w:val="0004682B"/>
    <w:rsid w:val="0005466E"/>
    <w:rsid w:val="000579F9"/>
    <w:rsid w:val="00057F31"/>
    <w:rsid w:val="00060EA2"/>
    <w:rsid w:val="00061755"/>
    <w:rsid w:val="00063003"/>
    <w:rsid w:val="00066073"/>
    <w:rsid w:val="000660FC"/>
    <w:rsid w:val="00067723"/>
    <w:rsid w:val="00072A12"/>
    <w:rsid w:val="00075499"/>
    <w:rsid w:val="00087F67"/>
    <w:rsid w:val="00093627"/>
    <w:rsid w:val="000A05C7"/>
    <w:rsid w:val="000A0FE9"/>
    <w:rsid w:val="000B2E4D"/>
    <w:rsid w:val="000B40F0"/>
    <w:rsid w:val="000B73DF"/>
    <w:rsid w:val="000C141B"/>
    <w:rsid w:val="000C4264"/>
    <w:rsid w:val="000C534D"/>
    <w:rsid w:val="000C6C04"/>
    <w:rsid w:val="000C6E31"/>
    <w:rsid w:val="000C6F75"/>
    <w:rsid w:val="000D0AA9"/>
    <w:rsid w:val="000D694B"/>
    <w:rsid w:val="000E6412"/>
    <w:rsid w:val="000F0412"/>
    <w:rsid w:val="000F06D8"/>
    <w:rsid w:val="000F684D"/>
    <w:rsid w:val="00100AD3"/>
    <w:rsid w:val="00102309"/>
    <w:rsid w:val="001038A5"/>
    <w:rsid w:val="001209BA"/>
    <w:rsid w:val="00120F42"/>
    <w:rsid w:val="00125E3A"/>
    <w:rsid w:val="001356B6"/>
    <w:rsid w:val="001412B8"/>
    <w:rsid w:val="00142FBE"/>
    <w:rsid w:val="001506A7"/>
    <w:rsid w:val="00155052"/>
    <w:rsid w:val="00156D3B"/>
    <w:rsid w:val="0015732C"/>
    <w:rsid w:val="00160DCB"/>
    <w:rsid w:val="00163179"/>
    <w:rsid w:val="00164BFD"/>
    <w:rsid w:val="001675DA"/>
    <w:rsid w:val="001731C4"/>
    <w:rsid w:val="00173EF0"/>
    <w:rsid w:val="0017585D"/>
    <w:rsid w:val="00177262"/>
    <w:rsid w:val="00180570"/>
    <w:rsid w:val="00181977"/>
    <w:rsid w:val="00181E34"/>
    <w:rsid w:val="00182489"/>
    <w:rsid w:val="0018674E"/>
    <w:rsid w:val="00191463"/>
    <w:rsid w:val="0019427C"/>
    <w:rsid w:val="00195853"/>
    <w:rsid w:val="001A0AEC"/>
    <w:rsid w:val="001A1ADD"/>
    <w:rsid w:val="001A2798"/>
    <w:rsid w:val="001A6C25"/>
    <w:rsid w:val="001B0B12"/>
    <w:rsid w:val="001C3820"/>
    <w:rsid w:val="001C4307"/>
    <w:rsid w:val="001D02E0"/>
    <w:rsid w:val="001D0450"/>
    <w:rsid w:val="001D3F41"/>
    <w:rsid w:val="001D483A"/>
    <w:rsid w:val="001D5CE7"/>
    <w:rsid w:val="001E45E1"/>
    <w:rsid w:val="001E46AC"/>
    <w:rsid w:val="001F29C7"/>
    <w:rsid w:val="001F452B"/>
    <w:rsid w:val="00205446"/>
    <w:rsid w:val="00207D68"/>
    <w:rsid w:val="002361BB"/>
    <w:rsid w:val="00236EEA"/>
    <w:rsid w:val="0024157B"/>
    <w:rsid w:val="00241748"/>
    <w:rsid w:val="00243487"/>
    <w:rsid w:val="002438C0"/>
    <w:rsid w:val="002550EE"/>
    <w:rsid w:val="00256857"/>
    <w:rsid w:val="00256B06"/>
    <w:rsid w:val="00260E74"/>
    <w:rsid w:val="00263FB1"/>
    <w:rsid w:val="00264D04"/>
    <w:rsid w:val="00266F58"/>
    <w:rsid w:val="00272387"/>
    <w:rsid w:val="00273C8D"/>
    <w:rsid w:val="0027442C"/>
    <w:rsid w:val="00277F43"/>
    <w:rsid w:val="00285241"/>
    <w:rsid w:val="00286ABC"/>
    <w:rsid w:val="0029474D"/>
    <w:rsid w:val="002A04AB"/>
    <w:rsid w:val="002A5C7B"/>
    <w:rsid w:val="002A75B1"/>
    <w:rsid w:val="002A7B5C"/>
    <w:rsid w:val="002B20A5"/>
    <w:rsid w:val="002B790A"/>
    <w:rsid w:val="002C27BF"/>
    <w:rsid w:val="002C7334"/>
    <w:rsid w:val="002C78A5"/>
    <w:rsid w:val="002D4B80"/>
    <w:rsid w:val="002D5469"/>
    <w:rsid w:val="002D5772"/>
    <w:rsid w:val="002E07AD"/>
    <w:rsid w:val="002E5B74"/>
    <w:rsid w:val="002E5FBC"/>
    <w:rsid w:val="002F16BE"/>
    <w:rsid w:val="002F1EEA"/>
    <w:rsid w:val="002F36CD"/>
    <w:rsid w:val="00300F76"/>
    <w:rsid w:val="00301590"/>
    <w:rsid w:val="00307AE4"/>
    <w:rsid w:val="00310F1C"/>
    <w:rsid w:val="00316CE7"/>
    <w:rsid w:val="00317378"/>
    <w:rsid w:val="00320ADC"/>
    <w:rsid w:val="00325889"/>
    <w:rsid w:val="003260B7"/>
    <w:rsid w:val="003309CD"/>
    <w:rsid w:val="00333285"/>
    <w:rsid w:val="0034668A"/>
    <w:rsid w:val="0035378C"/>
    <w:rsid w:val="00357E15"/>
    <w:rsid w:val="0036125A"/>
    <w:rsid w:val="00363D98"/>
    <w:rsid w:val="00371B52"/>
    <w:rsid w:val="00375224"/>
    <w:rsid w:val="00375F76"/>
    <w:rsid w:val="00376389"/>
    <w:rsid w:val="00377489"/>
    <w:rsid w:val="00383536"/>
    <w:rsid w:val="003851B2"/>
    <w:rsid w:val="0039297C"/>
    <w:rsid w:val="003939E8"/>
    <w:rsid w:val="00394509"/>
    <w:rsid w:val="00397958"/>
    <w:rsid w:val="003A16D2"/>
    <w:rsid w:val="003A53B1"/>
    <w:rsid w:val="003A57C9"/>
    <w:rsid w:val="003A6321"/>
    <w:rsid w:val="003B224C"/>
    <w:rsid w:val="003B2919"/>
    <w:rsid w:val="003B7B78"/>
    <w:rsid w:val="003C2C1E"/>
    <w:rsid w:val="003C4F29"/>
    <w:rsid w:val="003D16C3"/>
    <w:rsid w:val="003D1D5F"/>
    <w:rsid w:val="003D4D1D"/>
    <w:rsid w:val="003D5D92"/>
    <w:rsid w:val="003E0AC2"/>
    <w:rsid w:val="003E14EC"/>
    <w:rsid w:val="003E293E"/>
    <w:rsid w:val="003E354B"/>
    <w:rsid w:val="003F1794"/>
    <w:rsid w:val="003F22E9"/>
    <w:rsid w:val="004012F3"/>
    <w:rsid w:val="00401FB1"/>
    <w:rsid w:val="00404E81"/>
    <w:rsid w:val="00405062"/>
    <w:rsid w:val="0040662B"/>
    <w:rsid w:val="0041103D"/>
    <w:rsid w:val="0041392D"/>
    <w:rsid w:val="00414E86"/>
    <w:rsid w:val="00415F7C"/>
    <w:rsid w:val="004170A4"/>
    <w:rsid w:val="00420992"/>
    <w:rsid w:val="004232F2"/>
    <w:rsid w:val="0042561E"/>
    <w:rsid w:val="00426E70"/>
    <w:rsid w:val="0042782C"/>
    <w:rsid w:val="00427D99"/>
    <w:rsid w:val="00427FD2"/>
    <w:rsid w:val="00434D67"/>
    <w:rsid w:val="004426AC"/>
    <w:rsid w:val="0044290B"/>
    <w:rsid w:val="004461E3"/>
    <w:rsid w:val="004545E2"/>
    <w:rsid w:val="0046280A"/>
    <w:rsid w:val="004734B4"/>
    <w:rsid w:val="004735B4"/>
    <w:rsid w:val="004814E9"/>
    <w:rsid w:val="004824AF"/>
    <w:rsid w:val="00482903"/>
    <w:rsid w:val="004833F4"/>
    <w:rsid w:val="00487A87"/>
    <w:rsid w:val="004A0C1D"/>
    <w:rsid w:val="004A171A"/>
    <w:rsid w:val="004A2653"/>
    <w:rsid w:val="004A4CB5"/>
    <w:rsid w:val="004A5A3F"/>
    <w:rsid w:val="004B5535"/>
    <w:rsid w:val="004C02E6"/>
    <w:rsid w:val="004E061C"/>
    <w:rsid w:val="004E14AD"/>
    <w:rsid w:val="004E2C5E"/>
    <w:rsid w:val="004E4469"/>
    <w:rsid w:val="004F3D63"/>
    <w:rsid w:val="004F67EA"/>
    <w:rsid w:val="0050165C"/>
    <w:rsid w:val="0050232A"/>
    <w:rsid w:val="005072F9"/>
    <w:rsid w:val="0051304D"/>
    <w:rsid w:val="00515247"/>
    <w:rsid w:val="00516566"/>
    <w:rsid w:val="00520BAD"/>
    <w:rsid w:val="00531377"/>
    <w:rsid w:val="0053176C"/>
    <w:rsid w:val="005405AE"/>
    <w:rsid w:val="00541BD0"/>
    <w:rsid w:val="005424F4"/>
    <w:rsid w:val="00542E38"/>
    <w:rsid w:val="0054311F"/>
    <w:rsid w:val="0054349F"/>
    <w:rsid w:val="00547622"/>
    <w:rsid w:val="00553120"/>
    <w:rsid w:val="00554093"/>
    <w:rsid w:val="00554DF3"/>
    <w:rsid w:val="00555867"/>
    <w:rsid w:val="00556728"/>
    <w:rsid w:val="00556D95"/>
    <w:rsid w:val="00561435"/>
    <w:rsid w:val="00562147"/>
    <w:rsid w:val="00564378"/>
    <w:rsid w:val="0057314F"/>
    <w:rsid w:val="00577E3C"/>
    <w:rsid w:val="00582078"/>
    <w:rsid w:val="0058296F"/>
    <w:rsid w:val="00585BF5"/>
    <w:rsid w:val="00586261"/>
    <w:rsid w:val="00587A88"/>
    <w:rsid w:val="0059055A"/>
    <w:rsid w:val="0059070D"/>
    <w:rsid w:val="00593763"/>
    <w:rsid w:val="005943D9"/>
    <w:rsid w:val="005A3743"/>
    <w:rsid w:val="005A6A89"/>
    <w:rsid w:val="005B0F75"/>
    <w:rsid w:val="005C0738"/>
    <w:rsid w:val="005C66C2"/>
    <w:rsid w:val="005C6E68"/>
    <w:rsid w:val="005D2721"/>
    <w:rsid w:val="005D5530"/>
    <w:rsid w:val="005D6476"/>
    <w:rsid w:val="005E4D6A"/>
    <w:rsid w:val="005E521A"/>
    <w:rsid w:val="005F3075"/>
    <w:rsid w:val="005F3B83"/>
    <w:rsid w:val="00602FDB"/>
    <w:rsid w:val="00607BD5"/>
    <w:rsid w:val="0061574D"/>
    <w:rsid w:val="006178BC"/>
    <w:rsid w:val="00620511"/>
    <w:rsid w:val="00622FC0"/>
    <w:rsid w:val="00624B8A"/>
    <w:rsid w:val="00627A66"/>
    <w:rsid w:val="00633F05"/>
    <w:rsid w:val="00636AE1"/>
    <w:rsid w:val="00641C9C"/>
    <w:rsid w:val="00647DE8"/>
    <w:rsid w:val="00655FB6"/>
    <w:rsid w:val="00661F44"/>
    <w:rsid w:val="00662DB8"/>
    <w:rsid w:val="00667845"/>
    <w:rsid w:val="006679EF"/>
    <w:rsid w:val="006728F3"/>
    <w:rsid w:val="006747BC"/>
    <w:rsid w:val="006778BF"/>
    <w:rsid w:val="006813C6"/>
    <w:rsid w:val="0068389A"/>
    <w:rsid w:val="00683DC2"/>
    <w:rsid w:val="00684540"/>
    <w:rsid w:val="00685C94"/>
    <w:rsid w:val="00692E8C"/>
    <w:rsid w:val="00693D1A"/>
    <w:rsid w:val="006B11B2"/>
    <w:rsid w:val="006B3971"/>
    <w:rsid w:val="006B590F"/>
    <w:rsid w:val="006B7D12"/>
    <w:rsid w:val="006C2333"/>
    <w:rsid w:val="006C2378"/>
    <w:rsid w:val="006C6A02"/>
    <w:rsid w:val="006D0C33"/>
    <w:rsid w:val="006D44C4"/>
    <w:rsid w:val="006D670A"/>
    <w:rsid w:val="006E09F5"/>
    <w:rsid w:val="006E3A40"/>
    <w:rsid w:val="006E48B3"/>
    <w:rsid w:val="006E4BA3"/>
    <w:rsid w:val="006E5168"/>
    <w:rsid w:val="006E5E29"/>
    <w:rsid w:val="006E7253"/>
    <w:rsid w:val="006F15C2"/>
    <w:rsid w:val="00707FF0"/>
    <w:rsid w:val="0071002D"/>
    <w:rsid w:val="00712236"/>
    <w:rsid w:val="00712E5F"/>
    <w:rsid w:val="00713712"/>
    <w:rsid w:val="00716B20"/>
    <w:rsid w:val="0072017E"/>
    <w:rsid w:val="00720FE1"/>
    <w:rsid w:val="0072154D"/>
    <w:rsid w:val="00722968"/>
    <w:rsid w:val="00724CFC"/>
    <w:rsid w:val="00724D39"/>
    <w:rsid w:val="00733BF6"/>
    <w:rsid w:val="00736524"/>
    <w:rsid w:val="00736ACA"/>
    <w:rsid w:val="0073779B"/>
    <w:rsid w:val="007402F6"/>
    <w:rsid w:val="00744850"/>
    <w:rsid w:val="00753980"/>
    <w:rsid w:val="0075459F"/>
    <w:rsid w:val="00755716"/>
    <w:rsid w:val="007624CF"/>
    <w:rsid w:val="007645C8"/>
    <w:rsid w:val="00766E00"/>
    <w:rsid w:val="0077174C"/>
    <w:rsid w:val="007803AF"/>
    <w:rsid w:val="00780D11"/>
    <w:rsid w:val="00791975"/>
    <w:rsid w:val="00791B67"/>
    <w:rsid w:val="00793031"/>
    <w:rsid w:val="00796DA4"/>
    <w:rsid w:val="0079769B"/>
    <w:rsid w:val="007A1049"/>
    <w:rsid w:val="007A5AAB"/>
    <w:rsid w:val="007A7E3C"/>
    <w:rsid w:val="007B3653"/>
    <w:rsid w:val="007B649A"/>
    <w:rsid w:val="007C2D78"/>
    <w:rsid w:val="007C33CF"/>
    <w:rsid w:val="007C344C"/>
    <w:rsid w:val="007C45E6"/>
    <w:rsid w:val="007C46AB"/>
    <w:rsid w:val="007C4D2B"/>
    <w:rsid w:val="007C7F57"/>
    <w:rsid w:val="007D2197"/>
    <w:rsid w:val="007D7FD9"/>
    <w:rsid w:val="007E08F2"/>
    <w:rsid w:val="007F3CA1"/>
    <w:rsid w:val="007F4F3C"/>
    <w:rsid w:val="00801963"/>
    <w:rsid w:val="008037EF"/>
    <w:rsid w:val="008143A0"/>
    <w:rsid w:val="00816D03"/>
    <w:rsid w:val="00820162"/>
    <w:rsid w:val="008221F3"/>
    <w:rsid w:val="00822651"/>
    <w:rsid w:val="00826D62"/>
    <w:rsid w:val="00831F60"/>
    <w:rsid w:val="00835DE2"/>
    <w:rsid w:val="008368D3"/>
    <w:rsid w:val="008375AC"/>
    <w:rsid w:val="00843D27"/>
    <w:rsid w:val="00847B02"/>
    <w:rsid w:val="00852191"/>
    <w:rsid w:val="0085293C"/>
    <w:rsid w:val="008540B0"/>
    <w:rsid w:val="00861CE8"/>
    <w:rsid w:val="00863129"/>
    <w:rsid w:val="0086315B"/>
    <w:rsid w:val="0087789D"/>
    <w:rsid w:val="008800CC"/>
    <w:rsid w:val="00883A73"/>
    <w:rsid w:val="00885DC5"/>
    <w:rsid w:val="00891456"/>
    <w:rsid w:val="00893C38"/>
    <w:rsid w:val="0089502F"/>
    <w:rsid w:val="0089696E"/>
    <w:rsid w:val="008A118D"/>
    <w:rsid w:val="008A1FE2"/>
    <w:rsid w:val="008A78D9"/>
    <w:rsid w:val="008B020B"/>
    <w:rsid w:val="008B29A9"/>
    <w:rsid w:val="008B3EC2"/>
    <w:rsid w:val="008B463C"/>
    <w:rsid w:val="008C1F76"/>
    <w:rsid w:val="008C690F"/>
    <w:rsid w:val="008D2484"/>
    <w:rsid w:val="008D2593"/>
    <w:rsid w:val="008E0F80"/>
    <w:rsid w:val="008E1753"/>
    <w:rsid w:val="008E2542"/>
    <w:rsid w:val="008E4ACD"/>
    <w:rsid w:val="008F3062"/>
    <w:rsid w:val="008F7CDC"/>
    <w:rsid w:val="009022A9"/>
    <w:rsid w:val="00904229"/>
    <w:rsid w:val="00905F71"/>
    <w:rsid w:val="00912390"/>
    <w:rsid w:val="009131CC"/>
    <w:rsid w:val="009133AF"/>
    <w:rsid w:val="0091737F"/>
    <w:rsid w:val="00920BA0"/>
    <w:rsid w:val="00923D6F"/>
    <w:rsid w:val="00932DE3"/>
    <w:rsid w:val="00934B3D"/>
    <w:rsid w:val="0093568A"/>
    <w:rsid w:val="00935FA3"/>
    <w:rsid w:val="00936BBE"/>
    <w:rsid w:val="00940353"/>
    <w:rsid w:val="009412E3"/>
    <w:rsid w:val="009422F0"/>
    <w:rsid w:val="00945914"/>
    <w:rsid w:val="009517DC"/>
    <w:rsid w:val="009611ED"/>
    <w:rsid w:val="009636FD"/>
    <w:rsid w:val="00965216"/>
    <w:rsid w:val="0096579B"/>
    <w:rsid w:val="00967A24"/>
    <w:rsid w:val="009717AF"/>
    <w:rsid w:val="00977EA1"/>
    <w:rsid w:val="00986BAD"/>
    <w:rsid w:val="009932B6"/>
    <w:rsid w:val="009974E2"/>
    <w:rsid w:val="009A32D8"/>
    <w:rsid w:val="009A393D"/>
    <w:rsid w:val="009B0AEB"/>
    <w:rsid w:val="009B0E99"/>
    <w:rsid w:val="009B14F2"/>
    <w:rsid w:val="009B3D44"/>
    <w:rsid w:val="009B5225"/>
    <w:rsid w:val="009B7DFC"/>
    <w:rsid w:val="009C1B7A"/>
    <w:rsid w:val="009D38AC"/>
    <w:rsid w:val="009D63B8"/>
    <w:rsid w:val="009E0B44"/>
    <w:rsid w:val="009E2689"/>
    <w:rsid w:val="009E55DC"/>
    <w:rsid w:val="00A000F8"/>
    <w:rsid w:val="00A01222"/>
    <w:rsid w:val="00A1046B"/>
    <w:rsid w:val="00A1164B"/>
    <w:rsid w:val="00A1508C"/>
    <w:rsid w:val="00A20042"/>
    <w:rsid w:val="00A21D27"/>
    <w:rsid w:val="00A27F65"/>
    <w:rsid w:val="00A333E9"/>
    <w:rsid w:val="00A36C8A"/>
    <w:rsid w:val="00A428E6"/>
    <w:rsid w:val="00A437C7"/>
    <w:rsid w:val="00A4604F"/>
    <w:rsid w:val="00A479A2"/>
    <w:rsid w:val="00A5431D"/>
    <w:rsid w:val="00A545CE"/>
    <w:rsid w:val="00A54A4B"/>
    <w:rsid w:val="00A568D3"/>
    <w:rsid w:val="00A56C68"/>
    <w:rsid w:val="00A62DB0"/>
    <w:rsid w:val="00A7008C"/>
    <w:rsid w:val="00A734C2"/>
    <w:rsid w:val="00A75929"/>
    <w:rsid w:val="00A75C03"/>
    <w:rsid w:val="00A75E9C"/>
    <w:rsid w:val="00A76625"/>
    <w:rsid w:val="00A76708"/>
    <w:rsid w:val="00A80828"/>
    <w:rsid w:val="00A81391"/>
    <w:rsid w:val="00A828B0"/>
    <w:rsid w:val="00A82FBF"/>
    <w:rsid w:val="00A97F91"/>
    <w:rsid w:val="00AA45B8"/>
    <w:rsid w:val="00AA6557"/>
    <w:rsid w:val="00AB2CB2"/>
    <w:rsid w:val="00AB6D61"/>
    <w:rsid w:val="00AC0AEE"/>
    <w:rsid w:val="00AC6B4A"/>
    <w:rsid w:val="00AE0E9C"/>
    <w:rsid w:val="00AE1046"/>
    <w:rsid w:val="00AE535A"/>
    <w:rsid w:val="00AE55CA"/>
    <w:rsid w:val="00AE634D"/>
    <w:rsid w:val="00AF2370"/>
    <w:rsid w:val="00B01087"/>
    <w:rsid w:val="00B04857"/>
    <w:rsid w:val="00B06B80"/>
    <w:rsid w:val="00B134C7"/>
    <w:rsid w:val="00B1452E"/>
    <w:rsid w:val="00B201AD"/>
    <w:rsid w:val="00B2185E"/>
    <w:rsid w:val="00B25864"/>
    <w:rsid w:val="00B37E98"/>
    <w:rsid w:val="00B41E19"/>
    <w:rsid w:val="00B4587F"/>
    <w:rsid w:val="00B53ADE"/>
    <w:rsid w:val="00B5485B"/>
    <w:rsid w:val="00B57485"/>
    <w:rsid w:val="00B60F73"/>
    <w:rsid w:val="00B61E9A"/>
    <w:rsid w:val="00B7174F"/>
    <w:rsid w:val="00B72061"/>
    <w:rsid w:val="00B7559B"/>
    <w:rsid w:val="00B76B5C"/>
    <w:rsid w:val="00B80B9C"/>
    <w:rsid w:val="00B84D19"/>
    <w:rsid w:val="00B86DAB"/>
    <w:rsid w:val="00B92503"/>
    <w:rsid w:val="00B954D2"/>
    <w:rsid w:val="00BA2059"/>
    <w:rsid w:val="00BA2D35"/>
    <w:rsid w:val="00BA6EEA"/>
    <w:rsid w:val="00BB5EE9"/>
    <w:rsid w:val="00BB6B3F"/>
    <w:rsid w:val="00BB7516"/>
    <w:rsid w:val="00BC56C4"/>
    <w:rsid w:val="00BC6290"/>
    <w:rsid w:val="00BD0C3D"/>
    <w:rsid w:val="00BE1A3D"/>
    <w:rsid w:val="00BE211E"/>
    <w:rsid w:val="00BE2880"/>
    <w:rsid w:val="00BE4B6A"/>
    <w:rsid w:val="00BE6192"/>
    <w:rsid w:val="00BF16D1"/>
    <w:rsid w:val="00BF1E5B"/>
    <w:rsid w:val="00BF69F8"/>
    <w:rsid w:val="00C01166"/>
    <w:rsid w:val="00C01A13"/>
    <w:rsid w:val="00C02497"/>
    <w:rsid w:val="00C056D8"/>
    <w:rsid w:val="00C077EA"/>
    <w:rsid w:val="00C10140"/>
    <w:rsid w:val="00C10F5C"/>
    <w:rsid w:val="00C12F8E"/>
    <w:rsid w:val="00C15049"/>
    <w:rsid w:val="00C15268"/>
    <w:rsid w:val="00C35AC6"/>
    <w:rsid w:val="00C54B6F"/>
    <w:rsid w:val="00C60675"/>
    <w:rsid w:val="00C60B55"/>
    <w:rsid w:val="00C60F2D"/>
    <w:rsid w:val="00C62606"/>
    <w:rsid w:val="00C62856"/>
    <w:rsid w:val="00C631F9"/>
    <w:rsid w:val="00C65CFC"/>
    <w:rsid w:val="00C70E4F"/>
    <w:rsid w:val="00C714C8"/>
    <w:rsid w:val="00C74511"/>
    <w:rsid w:val="00C77324"/>
    <w:rsid w:val="00C82058"/>
    <w:rsid w:val="00C86670"/>
    <w:rsid w:val="00C91B48"/>
    <w:rsid w:val="00CA4870"/>
    <w:rsid w:val="00CA5E00"/>
    <w:rsid w:val="00CA5F4E"/>
    <w:rsid w:val="00CC51CC"/>
    <w:rsid w:val="00CD114A"/>
    <w:rsid w:val="00CD6792"/>
    <w:rsid w:val="00CE6282"/>
    <w:rsid w:val="00CE7998"/>
    <w:rsid w:val="00CF1449"/>
    <w:rsid w:val="00CF7A2B"/>
    <w:rsid w:val="00D04518"/>
    <w:rsid w:val="00D060BE"/>
    <w:rsid w:val="00D11310"/>
    <w:rsid w:val="00D11B54"/>
    <w:rsid w:val="00D12A3B"/>
    <w:rsid w:val="00D16AC4"/>
    <w:rsid w:val="00D1786E"/>
    <w:rsid w:val="00D21740"/>
    <w:rsid w:val="00D2241A"/>
    <w:rsid w:val="00D22465"/>
    <w:rsid w:val="00D22CD2"/>
    <w:rsid w:val="00D24B79"/>
    <w:rsid w:val="00D26AA5"/>
    <w:rsid w:val="00D3041A"/>
    <w:rsid w:val="00D304DF"/>
    <w:rsid w:val="00D31B0E"/>
    <w:rsid w:val="00D4024B"/>
    <w:rsid w:val="00D450F9"/>
    <w:rsid w:val="00D46B76"/>
    <w:rsid w:val="00D549C2"/>
    <w:rsid w:val="00D63A54"/>
    <w:rsid w:val="00D65136"/>
    <w:rsid w:val="00D73296"/>
    <w:rsid w:val="00D81D4F"/>
    <w:rsid w:val="00D82227"/>
    <w:rsid w:val="00D823C4"/>
    <w:rsid w:val="00D85072"/>
    <w:rsid w:val="00D9246D"/>
    <w:rsid w:val="00D92EDA"/>
    <w:rsid w:val="00D942AD"/>
    <w:rsid w:val="00DA2456"/>
    <w:rsid w:val="00DA2835"/>
    <w:rsid w:val="00DA6D1A"/>
    <w:rsid w:val="00DB1F4F"/>
    <w:rsid w:val="00DB2A64"/>
    <w:rsid w:val="00DB41AE"/>
    <w:rsid w:val="00DB47E6"/>
    <w:rsid w:val="00DB537F"/>
    <w:rsid w:val="00DB6D9C"/>
    <w:rsid w:val="00DC02F2"/>
    <w:rsid w:val="00DC2ACF"/>
    <w:rsid w:val="00DC6E0D"/>
    <w:rsid w:val="00DC7C32"/>
    <w:rsid w:val="00DD2B36"/>
    <w:rsid w:val="00DD5369"/>
    <w:rsid w:val="00DE526B"/>
    <w:rsid w:val="00DE6459"/>
    <w:rsid w:val="00DF750E"/>
    <w:rsid w:val="00E0041F"/>
    <w:rsid w:val="00E06F25"/>
    <w:rsid w:val="00E1022C"/>
    <w:rsid w:val="00E10403"/>
    <w:rsid w:val="00E1309A"/>
    <w:rsid w:val="00E130F6"/>
    <w:rsid w:val="00E24103"/>
    <w:rsid w:val="00E24AF4"/>
    <w:rsid w:val="00E32B1A"/>
    <w:rsid w:val="00E357E1"/>
    <w:rsid w:val="00E43A2E"/>
    <w:rsid w:val="00E44136"/>
    <w:rsid w:val="00E44863"/>
    <w:rsid w:val="00E45018"/>
    <w:rsid w:val="00E539A8"/>
    <w:rsid w:val="00E540D8"/>
    <w:rsid w:val="00E659CD"/>
    <w:rsid w:val="00E71160"/>
    <w:rsid w:val="00E75BD9"/>
    <w:rsid w:val="00E77B7C"/>
    <w:rsid w:val="00E77BD3"/>
    <w:rsid w:val="00E84A72"/>
    <w:rsid w:val="00E9194C"/>
    <w:rsid w:val="00E95CAB"/>
    <w:rsid w:val="00EA27E4"/>
    <w:rsid w:val="00EB4BDD"/>
    <w:rsid w:val="00EB55E5"/>
    <w:rsid w:val="00EC1814"/>
    <w:rsid w:val="00EC43AC"/>
    <w:rsid w:val="00ED0F4D"/>
    <w:rsid w:val="00ED38C4"/>
    <w:rsid w:val="00ED6A9A"/>
    <w:rsid w:val="00ED7992"/>
    <w:rsid w:val="00EE1705"/>
    <w:rsid w:val="00EE584E"/>
    <w:rsid w:val="00EF01D9"/>
    <w:rsid w:val="00EF2F84"/>
    <w:rsid w:val="00EF365E"/>
    <w:rsid w:val="00EF73F3"/>
    <w:rsid w:val="00F0305B"/>
    <w:rsid w:val="00F047FF"/>
    <w:rsid w:val="00F04A0D"/>
    <w:rsid w:val="00F05C55"/>
    <w:rsid w:val="00F15250"/>
    <w:rsid w:val="00F16A2D"/>
    <w:rsid w:val="00F22AA2"/>
    <w:rsid w:val="00F23714"/>
    <w:rsid w:val="00F2749B"/>
    <w:rsid w:val="00F33ABF"/>
    <w:rsid w:val="00F3611A"/>
    <w:rsid w:val="00F37936"/>
    <w:rsid w:val="00F43011"/>
    <w:rsid w:val="00F5027F"/>
    <w:rsid w:val="00F560EC"/>
    <w:rsid w:val="00F6239A"/>
    <w:rsid w:val="00F63B27"/>
    <w:rsid w:val="00F67B89"/>
    <w:rsid w:val="00F71523"/>
    <w:rsid w:val="00F77C06"/>
    <w:rsid w:val="00F80D06"/>
    <w:rsid w:val="00F81A46"/>
    <w:rsid w:val="00F81EA4"/>
    <w:rsid w:val="00F92E05"/>
    <w:rsid w:val="00F93277"/>
    <w:rsid w:val="00F95197"/>
    <w:rsid w:val="00FA316F"/>
    <w:rsid w:val="00FA5813"/>
    <w:rsid w:val="00FB2E15"/>
    <w:rsid w:val="00FB51B1"/>
    <w:rsid w:val="00FB6BC7"/>
    <w:rsid w:val="00FC47AA"/>
    <w:rsid w:val="00FC7509"/>
    <w:rsid w:val="00FD1E97"/>
    <w:rsid w:val="00FE1B9D"/>
    <w:rsid w:val="00FF0E03"/>
    <w:rsid w:val="00FF192C"/>
    <w:rsid w:val="00FF3996"/>
    <w:rsid w:val="00FF5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14:docId w14:val="4C6ADEF6"/>
  <w15:docId w15:val="{44DAECE2-E72D-4F63-B4A2-76961931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2503"/>
    <w:pPr>
      <w:jc w:val="both"/>
    </w:pPr>
    <w:rPr>
      <w:rFonts w:ascii="Arial" w:hAnsi="Arial"/>
      <w:sz w:val="24"/>
      <w:lang w:eastAsia="en-US"/>
    </w:rPr>
  </w:style>
  <w:style w:type="paragraph" w:styleId="Heading1">
    <w:name w:val="heading 1"/>
    <w:basedOn w:val="Normal"/>
    <w:next w:val="Normal"/>
    <w:link w:val="Heading1Char"/>
    <w:uiPriority w:val="1"/>
    <w:qFormat/>
    <w:rsid w:val="00B92503"/>
    <w:pPr>
      <w:numPr>
        <w:numId w:val="21"/>
      </w:numPr>
      <w:ind w:left="567" w:hanging="567"/>
      <w:outlineLvl w:val="0"/>
    </w:pPr>
    <w:rPr>
      <w:rFonts w:eastAsia="MS Gothic"/>
      <w:b/>
      <w:bCs/>
      <w:szCs w:val="28"/>
      <w:lang w:bidi="en-US"/>
    </w:rPr>
  </w:style>
  <w:style w:type="paragraph" w:styleId="Heading2">
    <w:name w:val="heading 2"/>
    <w:basedOn w:val="Normal"/>
    <w:next w:val="Normal"/>
    <w:link w:val="Heading2Char"/>
    <w:uiPriority w:val="9"/>
    <w:unhideWhenUsed/>
    <w:qFormat/>
    <w:rsid w:val="00B92503"/>
    <w:pPr>
      <w:numPr>
        <w:ilvl w:val="1"/>
        <w:numId w:val="21"/>
      </w:numPr>
      <w:ind w:left="567" w:hanging="567"/>
      <w:outlineLvl w:val="1"/>
    </w:pPr>
    <w:rPr>
      <w:rFonts w:eastAsia="MS Gothic"/>
      <w:b/>
      <w:bCs/>
      <w:szCs w:val="26"/>
      <w:lang w:bidi="en-US"/>
    </w:rPr>
  </w:style>
  <w:style w:type="paragraph" w:styleId="Heading3">
    <w:name w:val="heading 3"/>
    <w:basedOn w:val="Normal"/>
    <w:next w:val="Normal"/>
    <w:link w:val="Heading3Char"/>
    <w:uiPriority w:val="9"/>
    <w:unhideWhenUsed/>
    <w:qFormat/>
    <w:rsid w:val="00B92503"/>
    <w:pPr>
      <w:numPr>
        <w:ilvl w:val="2"/>
        <w:numId w:val="21"/>
      </w:numPr>
      <w:outlineLvl w:val="2"/>
    </w:pPr>
    <w:rPr>
      <w:rFonts w:eastAsia="MS Gothic"/>
      <w:bCs/>
      <w:szCs w:val="22"/>
      <w:lang w:bidi="en-US"/>
    </w:rPr>
  </w:style>
  <w:style w:type="paragraph" w:styleId="Heading4">
    <w:name w:val="heading 4"/>
    <w:basedOn w:val="Normal"/>
    <w:next w:val="Normal"/>
    <w:link w:val="Heading4Char"/>
    <w:uiPriority w:val="9"/>
    <w:qFormat/>
    <w:rsid w:val="00EF73F3"/>
    <w:pPr>
      <w:numPr>
        <w:ilvl w:val="3"/>
        <w:numId w:val="21"/>
      </w:numPr>
      <w:outlineLvl w:val="3"/>
    </w:pPr>
    <w:rPr>
      <w:rFonts w:eastAsia="MS Gothic"/>
      <w:bCs/>
      <w:i/>
      <w:iCs/>
      <w:szCs w:val="22"/>
      <w:lang w:bidi="en-US"/>
    </w:rPr>
  </w:style>
  <w:style w:type="paragraph" w:styleId="Heading5">
    <w:name w:val="heading 5"/>
    <w:basedOn w:val="Normal"/>
    <w:next w:val="Normal"/>
    <w:link w:val="Heading5Char"/>
    <w:uiPriority w:val="9"/>
    <w:semiHidden/>
    <w:unhideWhenUsed/>
    <w:qFormat/>
    <w:rsid w:val="00415F7C"/>
    <w:pPr>
      <w:numPr>
        <w:ilvl w:val="4"/>
        <w:numId w:val="21"/>
      </w:numPr>
      <w:spacing w:before="200"/>
      <w:outlineLvl w:val="4"/>
    </w:pPr>
    <w:rPr>
      <w:rFonts w:eastAsia="MS Gothic"/>
      <w:b/>
      <w:bCs/>
      <w:szCs w:val="22"/>
      <w:lang w:bidi="en-US"/>
    </w:rPr>
  </w:style>
  <w:style w:type="paragraph" w:styleId="Heading6">
    <w:name w:val="heading 6"/>
    <w:basedOn w:val="Normal"/>
    <w:next w:val="Normal"/>
    <w:link w:val="Heading6Char"/>
    <w:uiPriority w:val="9"/>
    <w:semiHidden/>
    <w:unhideWhenUsed/>
    <w:qFormat/>
    <w:rsid w:val="00EF73F3"/>
    <w:pPr>
      <w:numPr>
        <w:ilvl w:val="5"/>
        <w:numId w:val="21"/>
      </w:numPr>
      <w:spacing w:line="271" w:lineRule="auto"/>
      <w:outlineLvl w:val="5"/>
    </w:pPr>
    <w:rPr>
      <w:rFonts w:ascii="Cambria" w:eastAsia="MS Gothic" w:hAnsi="Cambria"/>
      <w:b/>
      <w:bCs/>
      <w:i/>
      <w:iCs/>
      <w:color w:val="7F7F7F"/>
      <w:sz w:val="22"/>
      <w:szCs w:val="22"/>
      <w:lang w:bidi="en-US"/>
    </w:rPr>
  </w:style>
  <w:style w:type="paragraph" w:styleId="Heading7">
    <w:name w:val="heading 7"/>
    <w:basedOn w:val="Normal"/>
    <w:next w:val="Normal"/>
    <w:link w:val="Heading7Char"/>
    <w:uiPriority w:val="9"/>
    <w:semiHidden/>
    <w:unhideWhenUsed/>
    <w:qFormat/>
    <w:rsid w:val="00EF73F3"/>
    <w:pPr>
      <w:numPr>
        <w:ilvl w:val="6"/>
        <w:numId w:val="21"/>
      </w:numPr>
      <w:outlineLvl w:val="6"/>
    </w:pPr>
    <w:rPr>
      <w:rFonts w:ascii="Cambria" w:eastAsia="MS Gothic" w:hAnsi="Cambria"/>
      <w:i/>
      <w:iCs/>
      <w:sz w:val="22"/>
      <w:szCs w:val="22"/>
      <w:lang w:bidi="en-US"/>
    </w:rPr>
  </w:style>
  <w:style w:type="paragraph" w:styleId="Heading8">
    <w:name w:val="heading 8"/>
    <w:basedOn w:val="Normal"/>
    <w:next w:val="Normal"/>
    <w:link w:val="Heading8Char"/>
    <w:uiPriority w:val="9"/>
    <w:semiHidden/>
    <w:unhideWhenUsed/>
    <w:qFormat/>
    <w:rsid w:val="00EF73F3"/>
    <w:pPr>
      <w:numPr>
        <w:ilvl w:val="7"/>
        <w:numId w:val="21"/>
      </w:numPr>
      <w:outlineLvl w:val="7"/>
    </w:pPr>
    <w:rPr>
      <w:rFonts w:ascii="Cambria" w:eastAsia="MS Gothic" w:hAnsi="Cambria"/>
      <w:sz w:val="20"/>
      <w:lang w:bidi="en-US"/>
    </w:rPr>
  </w:style>
  <w:style w:type="paragraph" w:styleId="Heading9">
    <w:name w:val="heading 9"/>
    <w:basedOn w:val="Normal"/>
    <w:next w:val="Normal"/>
    <w:link w:val="Heading9Char"/>
    <w:uiPriority w:val="9"/>
    <w:semiHidden/>
    <w:unhideWhenUsed/>
    <w:qFormat/>
    <w:rsid w:val="00EF73F3"/>
    <w:pPr>
      <w:numPr>
        <w:ilvl w:val="8"/>
        <w:numId w:val="21"/>
      </w:numPr>
      <w:outlineLvl w:val="8"/>
    </w:pPr>
    <w:rPr>
      <w:rFonts w:ascii="Cambria" w:eastAsia="MS Gothic" w:hAnsi="Cambria"/>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92503"/>
    <w:rPr>
      <w:rFonts w:ascii="Arial" w:eastAsia="MS Gothic" w:hAnsi="Arial"/>
      <w:b/>
      <w:bCs/>
      <w:sz w:val="24"/>
      <w:szCs w:val="28"/>
      <w:lang w:eastAsia="en-US" w:bidi="en-US"/>
    </w:rPr>
  </w:style>
  <w:style w:type="character" w:customStyle="1" w:styleId="Heading2Char">
    <w:name w:val="Heading 2 Char"/>
    <w:link w:val="Heading2"/>
    <w:uiPriority w:val="9"/>
    <w:rsid w:val="00B92503"/>
    <w:rPr>
      <w:rFonts w:ascii="Arial" w:eastAsia="MS Gothic" w:hAnsi="Arial"/>
      <w:b/>
      <w:bCs/>
      <w:sz w:val="24"/>
      <w:szCs w:val="26"/>
      <w:lang w:eastAsia="en-US" w:bidi="en-US"/>
    </w:rPr>
  </w:style>
  <w:style w:type="paragraph" w:styleId="Title">
    <w:name w:val="Title"/>
    <w:basedOn w:val="Normal"/>
    <w:next w:val="Normal"/>
    <w:link w:val="TitleChar"/>
    <w:uiPriority w:val="10"/>
    <w:qFormat/>
    <w:rsid w:val="00EF73F3"/>
    <w:pPr>
      <w:jc w:val="center"/>
    </w:pPr>
    <w:rPr>
      <w:rFonts w:eastAsia="MS Gothic"/>
      <w:b/>
      <w:spacing w:val="5"/>
      <w:sz w:val="32"/>
      <w:szCs w:val="52"/>
    </w:rPr>
  </w:style>
  <w:style w:type="character" w:customStyle="1" w:styleId="TitleChar">
    <w:name w:val="Title Char"/>
    <w:link w:val="Title"/>
    <w:uiPriority w:val="10"/>
    <w:rsid w:val="00EF73F3"/>
    <w:rPr>
      <w:rFonts w:ascii="Arial" w:eastAsia="MS Gothic" w:hAnsi="Arial" w:cs="Times New Roman"/>
      <w:b/>
      <w:spacing w:val="5"/>
      <w:sz w:val="32"/>
      <w:szCs w:val="52"/>
    </w:rPr>
  </w:style>
  <w:style w:type="paragraph" w:styleId="Quote">
    <w:name w:val="Quote"/>
    <w:basedOn w:val="Normal"/>
    <w:next w:val="Normal"/>
    <w:link w:val="QuoteChar"/>
    <w:uiPriority w:val="29"/>
    <w:qFormat/>
    <w:rsid w:val="00EF73F3"/>
    <w:pPr>
      <w:ind w:left="680"/>
    </w:pPr>
    <w:rPr>
      <w:rFonts w:eastAsia="MS Mincho"/>
      <w:iCs/>
      <w:szCs w:val="22"/>
      <w:lang w:bidi="en-US"/>
    </w:rPr>
  </w:style>
  <w:style w:type="character" w:customStyle="1" w:styleId="QuoteChar">
    <w:name w:val="Quote Char"/>
    <w:link w:val="Quote"/>
    <w:uiPriority w:val="29"/>
    <w:rsid w:val="00EF73F3"/>
    <w:rPr>
      <w:rFonts w:ascii="Arial" w:eastAsia="MS Mincho" w:hAnsi="Arial"/>
      <w:iCs/>
      <w:sz w:val="24"/>
      <w:lang w:bidi="en-US"/>
    </w:rPr>
  </w:style>
  <w:style w:type="paragraph" w:styleId="ListParagraph">
    <w:name w:val="List Paragraph"/>
    <w:basedOn w:val="Normal"/>
    <w:uiPriority w:val="1"/>
    <w:qFormat/>
    <w:rsid w:val="00553120"/>
    <w:pPr>
      <w:numPr>
        <w:numId w:val="45"/>
      </w:numPr>
      <w:ind w:left="567" w:hanging="567"/>
      <w:contextualSpacing/>
    </w:pPr>
    <w:rPr>
      <w:rFonts w:cs="Arial"/>
      <w:szCs w:val="24"/>
      <w:lang w:eastAsia="en-GB"/>
    </w:rPr>
  </w:style>
  <w:style w:type="paragraph" w:customStyle="1" w:styleId="inset">
    <w:name w:val="inset"/>
    <w:basedOn w:val="Normal"/>
    <w:link w:val="insetChar"/>
    <w:qFormat/>
    <w:rsid w:val="00EF73F3"/>
    <w:pPr>
      <w:ind w:left="709"/>
    </w:pPr>
  </w:style>
  <w:style w:type="character" w:customStyle="1" w:styleId="insetChar">
    <w:name w:val="inset Char"/>
    <w:link w:val="inset"/>
    <w:rsid w:val="00EF73F3"/>
    <w:rPr>
      <w:rFonts w:ascii="Arial" w:hAnsi="Arial" w:cs="Times New Roman"/>
      <w:sz w:val="24"/>
      <w:szCs w:val="24"/>
      <w:lang w:eastAsia="en-GB"/>
    </w:rPr>
  </w:style>
  <w:style w:type="character" w:styleId="FootnoteReference">
    <w:name w:val="footnote reference"/>
    <w:aliases w:val="Fn Ref"/>
    <w:uiPriority w:val="99"/>
    <w:qFormat/>
    <w:rsid w:val="001D0450"/>
    <w:rPr>
      <w:rFonts w:ascii="Arial" w:hAnsi="Arial"/>
      <w:sz w:val="20"/>
      <w:vertAlign w:val="superscript"/>
    </w:rPr>
  </w:style>
  <w:style w:type="paragraph" w:customStyle="1" w:styleId="fntxt">
    <w:name w:val="fn txt"/>
    <w:basedOn w:val="FootnoteText"/>
    <w:qFormat/>
    <w:rsid w:val="00EF73F3"/>
    <w:rPr>
      <w:rFonts w:eastAsia="Calibri"/>
      <w:color w:val="000000"/>
      <w:szCs w:val="24"/>
    </w:rPr>
  </w:style>
  <w:style w:type="paragraph" w:styleId="FootnoteText">
    <w:name w:val="footnote text"/>
    <w:basedOn w:val="Normal"/>
    <w:link w:val="FootnoteTextChar"/>
    <w:uiPriority w:val="99"/>
    <w:unhideWhenUsed/>
    <w:rsid w:val="001D0450"/>
    <w:rPr>
      <w:sz w:val="20"/>
    </w:rPr>
  </w:style>
  <w:style w:type="character" w:customStyle="1" w:styleId="FootnoteTextChar">
    <w:name w:val="Footnote Text Char"/>
    <w:link w:val="FootnoteText"/>
    <w:uiPriority w:val="99"/>
    <w:rsid w:val="00EF73F3"/>
    <w:rPr>
      <w:rFonts w:ascii="Arial" w:hAnsi="Arial"/>
      <w:lang w:eastAsia="en-US"/>
    </w:rPr>
  </w:style>
  <w:style w:type="paragraph" w:customStyle="1" w:styleId="case">
    <w:name w:val="case"/>
    <w:basedOn w:val="Normal"/>
    <w:link w:val="caseChar"/>
    <w:qFormat/>
    <w:rsid w:val="00EF73F3"/>
    <w:rPr>
      <w:i/>
    </w:rPr>
  </w:style>
  <w:style w:type="character" w:customStyle="1" w:styleId="caseChar">
    <w:name w:val="case Char"/>
    <w:link w:val="case"/>
    <w:rsid w:val="00EF73F3"/>
    <w:rPr>
      <w:rFonts w:ascii="Arial" w:hAnsi="Arial" w:cs="Times New Roman"/>
      <w:i/>
      <w:sz w:val="24"/>
      <w:szCs w:val="24"/>
      <w:lang w:eastAsia="en-GB"/>
    </w:rPr>
  </w:style>
  <w:style w:type="character" w:customStyle="1" w:styleId="Heading3Char">
    <w:name w:val="Heading 3 Char"/>
    <w:link w:val="Heading3"/>
    <w:uiPriority w:val="9"/>
    <w:rsid w:val="00B92503"/>
    <w:rPr>
      <w:rFonts w:ascii="Arial" w:eastAsia="MS Gothic" w:hAnsi="Arial"/>
      <w:bCs/>
      <w:sz w:val="24"/>
      <w:szCs w:val="22"/>
      <w:lang w:eastAsia="en-US" w:bidi="en-US"/>
    </w:rPr>
  </w:style>
  <w:style w:type="character" w:customStyle="1" w:styleId="Heading4Char">
    <w:name w:val="Heading 4 Char"/>
    <w:link w:val="Heading4"/>
    <w:uiPriority w:val="9"/>
    <w:rsid w:val="00EF73F3"/>
    <w:rPr>
      <w:rFonts w:ascii="Arial" w:eastAsia="MS Gothic" w:hAnsi="Arial" w:cs="Times New Roman"/>
      <w:bCs/>
      <w:i/>
      <w:iCs/>
      <w:sz w:val="24"/>
      <w:lang w:bidi="en-US"/>
    </w:rPr>
  </w:style>
  <w:style w:type="character" w:customStyle="1" w:styleId="Heading5Char">
    <w:name w:val="Heading 5 Char"/>
    <w:link w:val="Heading5"/>
    <w:uiPriority w:val="9"/>
    <w:semiHidden/>
    <w:rsid w:val="00415F7C"/>
    <w:rPr>
      <w:rFonts w:ascii="Arial" w:eastAsia="MS Gothic" w:hAnsi="Arial" w:cs="Times New Roman"/>
      <w:b/>
      <w:bCs/>
      <w:sz w:val="24"/>
      <w:lang w:bidi="en-US"/>
    </w:rPr>
  </w:style>
  <w:style w:type="character" w:customStyle="1" w:styleId="Heading6Char">
    <w:name w:val="Heading 6 Char"/>
    <w:link w:val="Heading6"/>
    <w:uiPriority w:val="9"/>
    <w:semiHidden/>
    <w:rsid w:val="00EF73F3"/>
    <w:rPr>
      <w:rFonts w:ascii="Cambria" w:eastAsia="MS Gothic" w:hAnsi="Cambria" w:cs="Times New Roman"/>
      <w:b/>
      <w:bCs/>
      <w:i/>
      <w:iCs/>
      <w:color w:val="7F7F7F"/>
      <w:lang w:bidi="en-US"/>
    </w:rPr>
  </w:style>
  <w:style w:type="character" w:customStyle="1" w:styleId="Heading7Char">
    <w:name w:val="Heading 7 Char"/>
    <w:link w:val="Heading7"/>
    <w:uiPriority w:val="9"/>
    <w:semiHidden/>
    <w:rsid w:val="00EF73F3"/>
    <w:rPr>
      <w:rFonts w:ascii="Cambria" w:eastAsia="MS Gothic" w:hAnsi="Cambria" w:cs="Times New Roman"/>
      <w:i/>
      <w:iCs/>
      <w:lang w:bidi="en-US"/>
    </w:rPr>
  </w:style>
  <w:style w:type="character" w:customStyle="1" w:styleId="Heading8Char">
    <w:name w:val="Heading 8 Char"/>
    <w:link w:val="Heading8"/>
    <w:uiPriority w:val="9"/>
    <w:semiHidden/>
    <w:rsid w:val="00EF73F3"/>
    <w:rPr>
      <w:rFonts w:ascii="Cambria" w:eastAsia="MS Gothic" w:hAnsi="Cambria" w:cs="Times New Roman"/>
      <w:sz w:val="20"/>
      <w:szCs w:val="20"/>
      <w:lang w:bidi="en-US"/>
    </w:rPr>
  </w:style>
  <w:style w:type="character" w:customStyle="1" w:styleId="Heading9Char">
    <w:name w:val="Heading 9 Char"/>
    <w:link w:val="Heading9"/>
    <w:uiPriority w:val="9"/>
    <w:semiHidden/>
    <w:rsid w:val="00EF73F3"/>
    <w:rPr>
      <w:rFonts w:ascii="Cambria" w:eastAsia="MS Gothic" w:hAnsi="Cambria" w:cs="Times New Roman"/>
      <w:i/>
      <w:iCs/>
      <w:spacing w:val="5"/>
      <w:sz w:val="20"/>
      <w:szCs w:val="20"/>
      <w:lang w:bidi="en-US"/>
    </w:rPr>
  </w:style>
  <w:style w:type="paragraph" w:styleId="Subtitle">
    <w:name w:val="Subtitle"/>
    <w:basedOn w:val="Normal"/>
    <w:next w:val="Normal"/>
    <w:link w:val="SubtitleChar"/>
    <w:uiPriority w:val="11"/>
    <w:rsid w:val="00EF73F3"/>
    <w:pPr>
      <w:spacing w:after="600"/>
    </w:pPr>
    <w:rPr>
      <w:rFonts w:ascii="Cambria" w:eastAsia="MS Gothic" w:hAnsi="Cambria"/>
      <w:i/>
      <w:iCs/>
      <w:spacing w:val="13"/>
      <w:lang w:bidi="en-US"/>
    </w:rPr>
  </w:style>
  <w:style w:type="character" w:customStyle="1" w:styleId="SubtitleChar">
    <w:name w:val="Subtitle Char"/>
    <w:link w:val="Subtitle"/>
    <w:uiPriority w:val="11"/>
    <w:rsid w:val="00EF73F3"/>
    <w:rPr>
      <w:rFonts w:ascii="Cambria" w:eastAsia="MS Gothic" w:hAnsi="Cambria" w:cs="Times New Roman"/>
      <w:i/>
      <w:iCs/>
      <w:spacing w:val="13"/>
      <w:sz w:val="24"/>
      <w:szCs w:val="24"/>
      <w:lang w:bidi="en-US"/>
    </w:rPr>
  </w:style>
  <w:style w:type="paragraph" w:styleId="TOCHeading">
    <w:name w:val="TOC Heading"/>
    <w:basedOn w:val="Heading1"/>
    <w:next w:val="Normal"/>
    <w:uiPriority w:val="39"/>
    <w:semiHidden/>
    <w:unhideWhenUsed/>
    <w:qFormat/>
    <w:rsid w:val="00EF73F3"/>
    <w:pPr>
      <w:outlineLvl w:val="9"/>
    </w:pPr>
    <w:rPr>
      <w:lang w:eastAsia="en-GB" w:bidi="ar-SA"/>
    </w:rPr>
  </w:style>
  <w:style w:type="paragraph" w:customStyle="1" w:styleId="fncase">
    <w:name w:val="fn case"/>
    <w:basedOn w:val="Normal"/>
    <w:link w:val="fncaseChar"/>
    <w:qFormat/>
    <w:rsid w:val="000F06D8"/>
    <w:pPr>
      <w:shd w:val="clear" w:color="auto" w:fill="FFFFFF"/>
      <w:spacing w:before="100" w:beforeAutospacing="1" w:after="100" w:afterAutospacing="1"/>
      <w:textAlignment w:val="top"/>
    </w:pPr>
    <w:rPr>
      <w:i/>
      <w:sz w:val="20"/>
    </w:rPr>
  </w:style>
  <w:style w:type="character" w:customStyle="1" w:styleId="fncaseChar">
    <w:name w:val="fn case Char"/>
    <w:link w:val="fncase"/>
    <w:rsid w:val="000F06D8"/>
    <w:rPr>
      <w:rFonts w:ascii="Arial" w:hAnsi="Arial"/>
      <w:i/>
      <w:sz w:val="20"/>
      <w:szCs w:val="24"/>
      <w:shd w:val="clear" w:color="auto" w:fill="FFFFFF"/>
      <w:lang w:val="en-US"/>
    </w:rPr>
  </w:style>
  <w:style w:type="paragraph" w:styleId="TOC1">
    <w:name w:val="toc 1"/>
    <w:basedOn w:val="Normal"/>
    <w:next w:val="Normal"/>
    <w:uiPriority w:val="39"/>
    <w:unhideWhenUsed/>
    <w:qFormat/>
    <w:rsid w:val="001D0450"/>
    <w:pPr>
      <w:tabs>
        <w:tab w:val="right" w:leader="dot" w:pos="9072"/>
      </w:tabs>
      <w:ind w:left="567" w:hanging="567"/>
    </w:pPr>
  </w:style>
  <w:style w:type="paragraph" w:styleId="TOC2">
    <w:name w:val="toc 2"/>
    <w:basedOn w:val="Normal"/>
    <w:next w:val="Normal"/>
    <w:uiPriority w:val="39"/>
    <w:unhideWhenUsed/>
    <w:qFormat/>
    <w:rsid w:val="001D0450"/>
    <w:pPr>
      <w:tabs>
        <w:tab w:val="right" w:leader="dot" w:pos="9072"/>
      </w:tabs>
      <w:ind w:left="1134" w:hanging="567"/>
    </w:pPr>
  </w:style>
  <w:style w:type="paragraph" w:styleId="TOC3">
    <w:name w:val="toc 3"/>
    <w:basedOn w:val="Normal"/>
    <w:next w:val="Normal"/>
    <w:uiPriority w:val="39"/>
    <w:unhideWhenUsed/>
    <w:rsid w:val="006747BC"/>
    <w:pPr>
      <w:tabs>
        <w:tab w:val="right" w:leader="dot" w:pos="9072"/>
      </w:tabs>
      <w:ind w:left="1985" w:hanging="851"/>
    </w:pPr>
  </w:style>
  <w:style w:type="character" w:styleId="Hyperlink">
    <w:name w:val="Hyperlink"/>
    <w:uiPriority w:val="99"/>
    <w:unhideWhenUsed/>
    <w:rsid w:val="006C2378"/>
    <w:rPr>
      <w:rFonts w:ascii="Arial" w:hAnsi="Arial" w:cs="Times New Roman" w:hint="default"/>
      <w:color w:val="0000FF"/>
      <w:u w:val="single"/>
    </w:rPr>
  </w:style>
  <w:style w:type="paragraph" w:styleId="PlainText">
    <w:name w:val="Plain Text"/>
    <w:basedOn w:val="Normal"/>
    <w:link w:val="PlainTextChar"/>
    <w:uiPriority w:val="99"/>
    <w:unhideWhenUsed/>
    <w:rsid w:val="00D46CBD"/>
    <w:rPr>
      <w:rFonts w:ascii="Consolas" w:hAnsi="Consolas" w:cs="Consolas"/>
      <w:sz w:val="21"/>
      <w:szCs w:val="21"/>
    </w:rPr>
  </w:style>
  <w:style w:type="character" w:customStyle="1" w:styleId="PlainTextChar">
    <w:name w:val="Plain Text Char"/>
    <w:link w:val="PlainText"/>
    <w:uiPriority w:val="99"/>
    <w:rsid w:val="00D46CBD"/>
    <w:rPr>
      <w:rFonts w:ascii="Consolas" w:hAnsi="Consolas" w:cs="Consolas"/>
      <w:sz w:val="21"/>
      <w:szCs w:val="21"/>
    </w:rPr>
  </w:style>
  <w:style w:type="paragraph" w:styleId="Header">
    <w:name w:val="header"/>
    <w:basedOn w:val="Normal"/>
    <w:link w:val="HeaderChar"/>
    <w:uiPriority w:val="99"/>
    <w:unhideWhenUsed/>
    <w:rsid w:val="00D9246D"/>
    <w:pPr>
      <w:tabs>
        <w:tab w:val="center" w:pos="4536"/>
        <w:tab w:val="right" w:pos="9072"/>
      </w:tabs>
    </w:pPr>
  </w:style>
  <w:style w:type="character" w:customStyle="1" w:styleId="HeaderChar">
    <w:name w:val="Header Char"/>
    <w:link w:val="Header"/>
    <w:uiPriority w:val="99"/>
    <w:rsid w:val="00D9246D"/>
    <w:rPr>
      <w:rFonts w:ascii="Arial" w:hAnsi="Arial" w:cs="Times New Roman"/>
      <w:sz w:val="24"/>
      <w:szCs w:val="20"/>
    </w:rPr>
  </w:style>
  <w:style w:type="paragraph" w:styleId="Footer">
    <w:name w:val="footer"/>
    <w:basedOn w:val="Normal"/>
    <w:link w:val="FooterChar"/>
    <w:uiPriority w:val="99"/>
    <w:unhideWhenUsed/>
    <w:rsid w:val="00D9246D"/>
    <w:pPr>
      <w:tabs>
        <w:tab w:val="center" w:pos="4536"/>
        <w:tab w:val="right" w:pos="9072"/>
      </w:tabs>
    </w:pPr>
  </w:style>
  <w:style w:type="character" w:customStyle="1" w:styleId="FooterChar">
    <w:name w:val="Footer Char"/>
    <w:link w:val="Footer"/>
    <w:uiPriority w:val="99"/>
    <w:rsid w:val="00D9246D"/>
    <w:rPr>
      <w:rFonts w:ascii="Arial" w:hAnsi="Arial" w:cs="Times New Roman"/>
      <w:sz w:val="24"/>
      <w:szCs w:val="20"/>
    </w:rPr>
  </w:style>
  <w:style w:type="table" w:styleId="TableGrid">
    <w:name w:val="Table Grid"/>
    <w:basedOn w:val="TableNormal"/>
    <w:uiPriority w:val="39"/>
    <w:rsid w:val="00D9246D"/>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371B52"/>
    <w:rPr>
      <w:rFonts w:eastAsia="Calibri" w:cs="Arial"/>
      <w:szCs w:val="24"/>
    </w:rPr>
  </w:style>
  <w:style w:type="character" w:customStyle="1" w:styleId="BodyTextChar">
    <w:name w:val="Body Text Char"/>
    <w:link w:val="BodyText"/>
    <w:uiPriority w:val="1"/>
    <w:rsid w:val="00371B52"/>
    <w:rPr>
      <w:rFonts w:ascii="Arial" w:eastAsia="Calibri" w:hAnsi="Arial" w:cs="Arial"/>
      <w:sz w:val="24"/>
      <w:szCs w:val="24"/>
      <w:lang w:eastAsia="en-US"/>
    </w:rPr>
  </w:style>
  <w:style w:type="character" w:styleId="CommentReference">
    <w:name w:val="annotation reference"/>
    <w:uiPriority w:val="99"/>
    <w:semiHidden/>
    <w:unhideWhenUsed/>
    <w:rsid w:val="006747BC"/>
    <w:rPr>
      <w:sz w:val="16"/>
      <w:szCs w:val="16"/>
    </w:rPr>
  </w:style>
  <w:style w:type="paragraph" w:styleId="CommentText">
    <w:name w:val="annotation text"/>
    <w:basedOn w:val="Normal"/>
    <w:link w:val="CommentTextChar"/>
    <w:uiPriority w:val="99"/>
    <w:semiHidden/>
    <w:unhideWhenUsed/>
    <w:rsid w:val="006747BC"/>
    <w:rPr>
      <w:sz w:val="20"/>
    </w:rPr>
  </w:style>
  <w:style w:type="character" w:customStyle="1" w:styleId="CommentTextChar">
    <w:name w:val="Comment Text Char"/>
    <w:link w:val="CommentText"/>
    <w:uiPriority w:val="99"/>
    <w:semiHidden/>
    <w:rsid w:val="006747BC"/>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6747BC"/>
    <w:rPr>
      <w:b/>
      <w:bCs/>
    </w:rPr>
  </w:style>
  <w:style w:type="character" w:customStyle="1" w:styleId="CommentSubjectChar">
    <w:name w:val="Comment Subject Char"/>
    <w:link w:val="CommentSubject"/>
    <w:uiPriority w:val="99"/>
    <w:semiHidden/>
    <w:rsid w:val="006747BC"/>
    <w:rPr>
      <w:rFonts w:ascii="Arial" w:hAnsi="Arial" w:cs="Times New Roman"/>
      <w:b/>
      <w:bCs/>
      <w:sz w:val="20"/>
      <w:szCs w:val="20"/>
    </w:rPr>
  </w:style>
  <w:style w:type="paragraph" w:styleId="BalloonText">
    <w:name w:val="Balloon Text"/>
    <w:basedOn w:val="Normal"/>
    <w:link w:val="BalloonTextChar"/>
    <w:uiPriority w:val="99"/>
    <w:semiHidden/>
    <w:unhideWhenUsed/>
    <w:rsid w:val="006747BC"/>
    <w:rPr>
      <w:rFonts w:ascii="Segoe UI" w:hAnsi="Segoe UI" w:cs="Segoe UI"/>
      <w:sz w:val="18"/>
      <w:szCs w:val="18"/>
    </w:rPr>
  </w:style>
  <w:style w:type="character" w:customStyle="1" w:styleId="BalloonTextChar">
    <w:name w:val="Balloon Text Char"/>
    <w:link w:val="BalloonText"/>
    <w:uiPriority w:val="99"/>
    <w:semiHidden/>
    <w:rsid w:val="006747BC"/>
    <w:rPr>
      <w:rFonts w:ascii="Segoe UI" w:hAnsi="Segoe UI" w:cs="Segoe UI"/>
      <w:sz w:val="18"/>
      <w:szCs w:val="18"/>
    </w:rPr>
  </w:style>
  <w:style w:type="paragraph" w:customStyle="1" w:styleId="ListDash">
    <w:name w:val="List Dash"/>
    <w:basedOn w:val="Normal"/>
    <w:rsid w:val="0071002D"/>
    <w:pPr>
      <w:numPr>
        <w:numId w:val="6"/>
      </w:numPr>
      <w:spacing w:before="120" w:after="120"/>
    </w:pPr>
    <w:rPr>
      <w:rFonts w:ascii="Times New Roman" w:hAnsi="Times New Roman"/>
      <w:szCs w:val="24"/>
      <w:lang w:eastAsia="de-DE"/>
    </w:rPr>
  </w:style>
  <w:style w:type="character" w:styleId="FollowedHyperlink">
    <w:name w:val="FollowedHyperlink"/>
    <w:uiPriority w:val="99"/>
    <w:semiHidden/>
    <w:unhideWhenUsed/>
    <w:rsid w:val="008E4ACD"/>
    <w:rPr>
      <w:color w:val="800080"/>
      <w:u w:val="single"/>
    </w:rPr>
  </w:style>
  <w:style w:type="character" w:styleId="UnresolvedMention">
    <w:name w:val="Unresolved Mention"/>
    <w:uiPriority w:val="99"/>
    <w:semiHidden/>
    <w:unhideWhenUsed/>
    <w:rsid w:val="00D65136"/>
    <w:rPr>
      <w:color w:val="605E5C"/>
      <w:shd w:val="clear" w:color="auto" w:fill="E1DFDD"/>
    </w:rPr>
  </w:style>
  <w:style w:type="paragraph" w:customStyle="1" w:styleId="Default">
    <w:name w:val="Default"/>
    <w:rsid w:val="00046790"/>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semiHidden/>
    <w:unhideWhenUsed/>
    <w:rsid w:val="0042782C"/>
    <w:pPr>
      <w:spacing w:before="100" w:beforeAutospacing="1" w:after="100" w:afterAutospacing="1"/>
    </w:pPr>
    <w:rPr>
      <w:rFonts w:ascii="Times New Roman" w:hAnsi="Times New Roman"/>
      <w:szCs w:val="24"/>
      <w:lang w:val="en-US"/>
    </w:rPr>
  </w:style>
  <w:style w:type="paragraph" w:customStyle="1" w:styleId="TableParagraph">
    <w:name w:val="Table Paragraph"/>
    <w:basedOn w:val="Normal"/>
    <w:uiPriority w:val="1"/>
    <w:qFormat/>
    <w:rsid w:val="001D0450"/>
    <w:pPr>
      <w:widowControl w:val="0"/>
      <w:autoSpaceDE w:val="0"/>
      <w:autoSpaceDN w:val="0"/>
      <w:jc w:val="center"/>
    </w:pPr>
    <w:rPr>
      <w:rFonts w:eastAsia="Arial" w:cs="Arial"/>
      <w:sz w:val="22"/>
      <w:szCs w:val="22"/>
      <w:lang w:val="en-US"/>
    </w:rPr>
  </w:style>
  <w:style w:type="paragraph" w:styleId="Revision">
    <w:name w:val="Revision"/>
    <w:hidden/>
    <w:uiPriority w:val="99"/>
    <w:semiHidden/>
    <w:rsid w:val="001D0450"/>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188">
      <w:bodyDiv w:val="1"/>
      <w:marLeft w:val="0"/>
      <w:marRight w:val="0"/>
      <w:marTop w:val="0"/>
      <w:marBottom w:val="0"/>
      <w:divBdr>
        <w:top w:val="none" w:sz="0" w:space="0" w:color="auto"/>
        <w:left w:val="none" w:sz="0" w:space="0" w:color="auto"/>
        <w:bottom w:val="none" w:sz="0" w:space="0" w:color="auto"/>
        <w:right w:val="none" w:sz="0" w:space="0" w:color="auto"/>
      </w:divBdr>
      <w:divsChild>
        <w:div w:id="1972636609">
          <w:marLeft w:val="0"/>
          <w:marRight w:val="0"/>
          <w:marTop w:val="0"/>
          <w:marBottom w:val="0"/>
          <w:divBdr>
            <w:top w:val="none" w:sz="0" w:space="0" w:color="auto"/>
            <w:left w:val="none" w:sz="0" w:space="0" w:color="auto"/>
            <w:bottom w:val="none" w:sz="0" w:space="0" w:color="auto"/>
            <w:right w:val="none" w:sz="0" w:space="0" w:color="auto"/>
          </w:divBdr>
          <w:divsChild>
            <w:div w:id="233391108">
              <w:marLeft w:val="0"/>
              <w:marRight w:val="0"/>
              <w:marTop w:val="0"/>
              <w:marBottom w:val="0"/>
              <w:divBdr>
                <w:top w:val="none" w:sz="0" w:space="0" w:color="auto"/>
                <w:left w:val="none" w:sz="0" w:space="0" w:color="auto"/>
                <w:bottom w:val="none" w:sz="0" w:space="0" w:color="auto"/>
                <w:right w:val="none" w:sz="0" w:space="0" w:color="auto"/>
              </w:divBdr>
              <w:divsChild>
                <w:div w:id="5663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5117">
      <w:bodyDiv w:val="1"/>
      <w:marLeft w:val="0"/>
      <w:marRight w:val="0"/>
      <w:marTop w:val="0"/>
      <w:marBottom w:val="0"/>
      <w:divBdr>
        <w:top w:val="none" w:sz="0" w:space="0" w:color="auto"/>
        <w:left w:val="none" w:sz="0" w:space="0" w:color="auto"/>
        <w:bottom w:val="none" w:sz="0" w:space="0" w:color="auto"/>
        <w:right w:val="none" w:sz="0" w:space="0" w:color="auto"/>
      </w:divBdr>
    </w:div>
    <w:div w:id="384260331">
      <w:bodyDiv w:val="1"/>
      <w:marLeft w:val="0"/>
      <w:marRight w:val="0"/>
      <w:marTop w:val="0"/>
      <w:marBottom w:val="0"/>
      <w:divBdr>
        <w:top w:val="none" w:sz="0" w:space="0" w:color="auto"/>
        <w:left w:val="none" w:sz="0" w:space="0" w:color="auto"/>
        <w:bottom w:val="none" w:sz="0" w:space="0" w:color="auto"/>
        <w:right w:val="none" w:sz="0" w:space="0" w:color="auto"/>
      </w:divBdr>
    </w:div>
    <w:div w:id="470447163">
      <w:bodyDiv w:val="1"/>
      <w:marLeft w:val="0"/>
      <w:marRight w:val="0"/>
      <w:marTop w:val="0"/>
      <w:marBottom w:val="0"/>
      <w:divBdr>
        <w:top w:val="none" w:sz="0" w:space="0" w:color="auto"/>
        <w:left w:val="none" w:sz="0" w:space="0" w:color="auto"/>
        <w:bottom w:val="none" w:sz="0" w:space="0" w:color="auto"/>
        <w:right w:val="none" w:sz="0" w:space="0" w:color="auto"/>
      </w:divBdr>
    </w:div>
    <w:div w:id="518811221">
      <w:bodyDiv w:val="1"/>
      <w:marLeft w:val="0"/>
      <w:marRight w:val="0"/>
      <w:marTop w:val="0"/>
      <w:marBottom w:val="0"/>
      <w:divBdr>
        <w:top w:val="none" w:sz="0" w:space="0" w:color="auto"/>
        <w:left w:val="none" w:sz="0" w:space="0" w:color="auto"/>
        <w:bottom w:val="none" w:sz="0" w:space="0" w:color="auto"/>
        <w:right w:val="none" w:sz="0" w:space="0" w:color="auto"/>
      </w:divBdr>
      <w:divsChild>
        <w:div w:id="1455053274">
          <w:marLeft w:val="0"/>
          <w:marRight w:val="0"/>
          <w:marTop w:val="0"/>
          <w:marBottom w:val="0"/>
          <w:divBdr>
            <w:top w:val="none" w:sz="0" w:space="0" w:color="auto"/>
            <w:left w:val="none" w:sz="0" w:space="0" w:color="auto"/>
            <w:bottom w:val="none" w:sz="0" w:space="0" w:color="auto"/>
            <w:right w:val="none" w:sz="0" w:space="0" w:color="auto"/>
          </w:divBdr>
          <w:divsChild>
            <w:div w:id="177819878">
              <w:marLeft w:val="0"/>
              <w:marRight w:val="0"/>
              <w:marTop w:val="0"/>
              <w:marBottom w:val="0"/>
              <w:divBdr>
                <w:top w:val="none" w:sz="0" w:space="0" w:color="auto"/>
                <w:left w:val="none" w:sz="0" w:space="0" w:color="auto"/>
                <w:bottom w:val="none" w:sz="0" w:space="0" w:color="auto"/>
                <w:right w:val="none" w:sz="0" w:space="0" w:color="auto"/>
              </w:divBdr>
              <w:divsChild>
                <w:div w:id="938023558">
                  <w:marLeft w:val="0"/>
                  <w:marRight w:val="0"/>
                  <w:marTop w:val="0"/>
                  <w:marBottom w:val="0"/>
                  <w:divBdr>
                    <w:top w:val="none" w:sz="0" w:space="0" w:color="auto"/>
                    <w:left w:val="none" w:sz="0" w:space="0" w:color="auto"/>
                    <w:bottom w:val="none" w:sz="0" w:space="0" w:color="auto"/>
                    <w:right w:val="none" w:sz="0" w:space="0" w:color="auto"/>
                  </w:divBdr>
                </w:div>
              </w:divsChild>
            </w:div>
            <w:div w:id="882909955">
              <w:marLeft w:val="0"/>
              <w:marRight w:val="0"/>
              <w:marTop w:val="0"/>
              <w:marBottom w:val="0"/>
              <w:divBdr>
                <w:top w:val="none" w:sz="0" w:space="0" w:color="auto"/>
                <w:left w:val="none" w:sz="0" w:space="0" w:color="auto"/>
                <w:bottom w:val="none" w:sz="0" w:space="0" w:color="auto"/>
                <w:right w:val="none" w:sz="0" w:space="0" w:color="auto"/>
              </w:divBdr>
              <w:divsChild>
                <w:div w:id="4306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93765">
      <w:bodyDiv w:val="1"/>
      <w:marLeft w:val="0"/>
      <w:marRight w:val="0"/>
      <w:marTop w:val="0"/>
      <w:marBottom w:val="0"/>
      <w:divBdr>
        <w:top w:val="none" w:sz="0" w:space="0" w:color="auto"/>
        <w:left w:val="none" w:sz="0" w:space="0" w:color="auto"/>
        <w:bottom w:val="none" w:sz="0" w:space="0" w:color="auto"/>
        <w:right w:val="none" w:sz="0" w:space="0" w:color="auto"/>
      </w:divBdr>
    </w:div>
    <w:div w:id="1117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6" Type="http://schemas.openxmlformats.org/officeDocument/2006/relationships/hyperlink" Target="https://stats.oecd.org/Index.aspx?QueryId=30142&amp;_ga=2.7185588.722996396.1547661294-1828482028.1541880394" TargetMode="External"/><Relationship Id="rId117" Type="http://schemas.openxmlformats.org/officeDocument/2006/relationships/hyperlink" Target="https://gouvernement.lu/de/publications/accord-coalition/2018-2023.html" TargetMode="External"/><Relationship Id="rId21" Type="http://schemas.openxmlformats.org/officeDocument/2006/relationships/hyperlink" Target="https://mfamigr.gouvernement.lu/fr/actualites.gouvernement%2Bfr%2Bactualites%2Btoutes_actualites%2Bcommuniques%2B2018%2B07-juillet%2B03-reunion-personnes-handicapees.html" TargetMode="External"/><Relationship Id="rId42" Type="http://schemas.openxmlformats.org/officeDocument/2006/relationships/hyperlink" Target="http://www.mss.public.lu/publications/rapport_general/rg2017/rg_2017.pdf" TargetMode="External"/><Relationship Id="rId47" Type="http://schemas.openxmlformats.org/officeDocument/2006/relationships/hyperlink" Target="https://communitylivingforeurope.org/country-specifics/" TargetMode="External"/><Relationship Id="rId63" Type="http://schemas.openxmlformats.org/officeDocument/2006/relationships/hyperlink" Target="https://mfamigr.gouvernement.lu/damassets/leminist&#232;re/attributions/personnes-handicap&#233;es/plan-d-action-du-gouvernement-luxembourgeois-en-faveur-des-personnes-handicapees.pdf" TargetMode="External"/><Relationship Id="rId68" Type="http://schemas.openxmlformats.org/officeDocument/2006/relationships/hyperlink" Target="http://www.adapth.lu/j3/" TargetMode="External"/><Relationship Id="rId84" Type="http://schemas.openxmlformats.org/officeDocument/2006/relationships/hyperlink" Target="http://legilux.public.lu/eli/etat/leg/loi/2017/08/29/a778/jo" TargetMode="External"/><Relationship Id="rId89" Type="http://schemas.openxmlformats.org/officeDocument/2006/relationships/hyperlink" Target="https://tbinternet.ohchr.org/_layouts/treatybodyexternal/Download.aspx?symbolno=INT%2fCRPD%2fCSS%2fLUX%2f26160&amp;Lang=en" TargetMode="External"/><Relationship Id="rId112" Type="http://schemas.openxmlformats.org/officeDocument/2006/relationships/hyperlink" Target="https://stats.oecd.org/Index.aspx?QueryId=30142&amp;_ga=2.7185588.722996396.1547661294-1828482028.1541880394" TargetMode="External"/><Relationship Id="rId16" Type="http://schemas.openxmlformats.org/officeDocument/2006/relationships/hyperlink" Target="http://legilux.public.lu/eli/etat/leg/loi/1971/04/01/n1/jo" TargetMode="External"/><Relationship Id="rId107" Type="http://schemas.openxmlformats.org/officeDocument/2006/relationships/hyperlink" Target="http://cet.lu/wpcontent/uploads/2017/07/Brochure.pdf" TargetMode="External"/><Relationship Id="rId11" Type="http://schemas.openxmlformats.org/officeDocument/2006/relationships/hyperlink" Target="https://www.secu.lu/assurance-dependance/" TargetMode="External"/><Relationship Id="rId24" Type="http://schemas.openxmlformats.org/officeDocument/2006/relationships/hyperlink" Target="http://www.legilux.public.lu/leg/textescoordonnes/recueils/Constitution/Constitution.pdf" TargetMode="External"/><Relationship Id="rId32" Type="http://schemas.openxmlformats.org/officeDocument/2006/relationships/hyperlink" Target="http://www.mss.public.lu/publications/rapport_general/rg2016/rg_2016.pdf" TargetMode="External"/><Relationship Id="rId37" Type="http://schemas.openxmlformats.org/officeDocument/2006/relationships/hyperlink" Target="https://stats.oecd.org/Index.aspx?QueryId=30142&amp;_ga=2.7185588.722996396.1547661294-1828482028.1541880394" TargetMode="External"/><Relationship Id="rId40" Type="http://schemas.openxmlformats.org/officeDocument/2006/relationships/hyperlink" Target="https://gouvernement.lu/dam-assets/fr/publications/rapport-activite/minist-famille-integration-grande-region/2017-rapport-activite-famille/2017-rapport-activite-famille.pdf" TargetMode="External"/><Relationship Id="rId45" Type="http://schemas.openxmlformats.org/officeDocument/2006/relationships/hyperlink" Target="http://www.men.public.lu/fr/actualites/articles/communiques-conference-presse/2018/06/26-centres-competences/index.html" TargetMode="External"/><Relationship Id="rId53" Type="http://schemas.openxmlformats.org/officeDocument/2006/relationships/hyperlink" Target="https://www.fns.lu/fileadmin/file/fns/legislation/RPGH/RPGH_LOI.pdf" TargetMode="External"/><Relationship Id="rId58" Type="http://schemas.openxmlformats.org/officeDocument/2006/relationships/hyperlink" Target="https://mfamigr.gouvernement.lu/content/dam/gouv_mfamigr/leminist&#232;re/attributions/personnes-handicap&#233;es/premier-rapport-periodique-de-mise-en-&#339;uvre-de-la-convention-onu.pdf" TargetMode="External"/><Relationship Id="rId66" Type="http://schemas.openxmlformats.org/officeDocument/2006/relationships/hyperlink" Target="https://www.chd.lu/wps/PA_RoleDesAffaires/FTSByteServingServletImpl?path=A2A75CF85C09915B9999B68B3E9441BADA922DC0FB061F241D67517B95AF096FB02DF2939A997DA367C102671C2ADA80$DD2EF981C2F13DF214417E56D84FCCF6" TargetMode="External"/><Relationship Id="rId74" Type="http://schemas.openxmlformats.org/officeDocument/2006/relationships/hyperlink" Target="http://www.fonds-europeens.public.lu/fr/projets-cofinances/fse/2014-2020/1042/index.html" TargetMode="External"/><Relationship Id="rId79" Type="http://schemas.openxmlformats.org/officeDocument/2006/relationships/hyperlink" Target="https://tbinternet.ohchr.org/_layouts/treatybodyexternal/Download.aspx?symbolno=CRPD%2FC%2FLUX%2F1&amp;Lang=en" TargetMode="External"/><Relationship Id="rId87" Type="http://schemas.openxmlformats.org/officeDocument/2006/relationships/hyperlink" Target="https://ccdh.public.lu/dam-assets/fr/publications/Droits-des-personnes-handicapees/Empowerment-3-Brochure.pdf" TargetMode="External"/><Relationship Id="rId102" Type="http://schemas.openxmlformats.org/officeDocument/2006/relationships/hyperlink" Target="http://www.fice-congress2013.ch/programm/abstracts/inklusion-im-nationalen-widerstreit-theoretischer-und-praxeologischer-konze/" TargetMode="External"/><Relationship Id="rId110" Type="http://schemas.openxmlformats.org/officeDocument/2006/relationships/hyperlink" Target="https://stats.oecd.org/Index.aspx?QueryId=30142&amp;_ga=2.7185588.722996396.1547661294-1828482028.1541880394" TargetMode="External"/><Relationship Id="rId115" Type="http://schemas.openxmlformats.org/officeDocument/2006/relationships/hyperlink" Target="http://www.mss.public.lu/publications/rapport_general/rg2017/rg_2017.pdf" TargetMode="External"/><Relationship Id="rId5" Type="http://schemas.openxmlformats.org/officeDocument/2006/relationships/hyperlink" Target="https://www.kent.ac.uk/tizard/research/DECL_network/documents/DECLOC_Country_Reports.pdf" TargetMode="External"/><Relationship Id="rId61" Type="http://schemas.openxmlformats.org/officeDocument/2006/relationships/hyperlink" Target="https://fra.europa.eu/en/publication/2017/independent-living-funding" TargetMode="External"/><Relationship Id="rId82" Type="http://schemas.openxmlformats.org/officeDocument/2006/relationships/hyperlink" Target="http://www.liewen-dobaussen.lu/de/links.html" TargetMode="External"/><Relationship Id="rId90" Type="http://schemas.openxmlformats.org/officeDocument/2006/relationships/hyperlink" Target="https://www.caritas.eu/wordpress/wpcontent/uploads/2018/11/20171109-PU-Caritas-cares-youth-poverty-country-report-luxembourg.pdf" TargetMode="External"/><Relationship Id="rId95" Type="http://schemas.openxmlformats.org/officeDocument/2006/relationships/hyperlink" Target="http://www.copas.lu/wp-content/uploads/reforme-psychiatrie-politique-sante-mentale-2013.pdf" TargetMode="External"/><Relationship Id="rId19" Type="http://schemas.openxmlformats.org/officeDocument/2006/relationships/hyperlink" Target="https://tbinternet.ohchr.org/_layouts/treatybodyexternal/Download.aspx?symbolno=INT%2fCRPD%2fCSS%2fLUX%2f26160&amp;Lang=en" TargetMode="External"/><Relationship Id="rId14" Type="http://schemas.openxmlformats.org/officeDocument/2006/relationships/hyperlink" Target="https://mfamigr.gouvernement.lu/dam-assets/le-minist&#232;re/attributions/personnes-handicap&#233;es/plan-d-action-du-gouvernement-luxembourgeois-en-faveur-des-personnes-handicapees.pdf" TargetMode="External"/><Relationship Id="rId22" Type="http://schemas.openxmlformats.org/officeDocument/2006/relationships/hyperlink" Target="https://documents-dds-ny.un.org/doc/UNDOC/GEN/G15/201/47/PDF/G1520147.pdf?OpenElement" TargetMode="External"/><Relationship Id="rId27" Type="http://schemas.openxmlformats.org/officeDocument/2006/relationships/hyperlink" Target="https://stats.oecd.org/Index.aspx?QueryId=30142&amp;_ga=2.7185588.722996396.1547661294-1828482028.1541880394" TargetMode="External"/><Relationship Id="rId30" Type="http://schemas.openxmlformats.org/officeDocument/2006/relationships/hyperlink" Target="https://communitylivingforeurope.org" TargetMode="External"/><Relationship Id="rId35" Type="http://schemas.openxmlformats.org/officeDocument/2006/relationships/hyperlink" Target="https://stats.oecd.org/Index.aspx?QueryId=30142&amp;_ga=2.7185588.722996396.1547661294-1828482028.1541880394" TargetMode="External"/><Relationship Id="rId43" Type="http://schemas.openxmlformats.org/officeDocument/2006/relationships/hyperlink" Target="http://www.mss.public.lu/publications/rapport_general/rg2017/rg_2017.pdf" TargetMode="External"/><Relationship Id="rId48" Type="http://schemas.openxmlformats.org/officeDocument/2006/relationships/hyperlink" Target="https://eustructuralfundswatchdotcom.files.wordpress.com/2017/11/cle-sfw_opening-up-communities-november-2017_final.pdf" TargetMode="External"/><Relationship Id="rId56" Type="http://schemas.openxmlformats.org/officeDocument/2006/relationships/hyperlink" Target="http://www.copas.lu/wp-content/uploads/reforme-psychiatrie-politique-sante-mentale-2013.pdf" TargetMode="External"/><Relationship Id="rId64" Type="http://schemas.openxmlformats.org/officeDocument/2006/relationships/hyperlink" Target="https://ec.europa.eu/regional_policy/en/information/publications/factsheets/2016/european-structural-and-investment-funds-country-factsheet-luxembourg" TargetMode="External"/><Relationship Id="rId69" Type="http://schemas.openxmlformats.org/officeDocument/2006/relationships/hyperlink" Target="https://www.secu.lu/assurance-dependance/" TargetMode="External"/><Relationship Id="rId77" Type="http://schemas.openxmlformats.org/officeDocument/2006/relationships/hyperlink" Target="https://gouvernement.lu/dam-assets/fr/actualites/articles/2009/04-avril/20-bartolomeo-psychiatrie/Lux-PC.pdf" TargetMode="External"/><Relationship Id="rId100" Type="http://schemas.openxmlformats.org/officeDocument/2006/relationships/hyperlink" Target="http://data.legilux.public.lu/file/eli-etat-leg-recueil-accessibilite_lieux_publics-20081224-fr-pdf.pdf" TargetMode="External"/><Relationship Id="rId105" Type="http://schemas.openxmlformats.org/officeDocument/2006/relationships/hyperlink" Target="https://www.pressreader.com" TargetMode="External"/><Relationship Id="rId113" Type="http://schemas.openxmlformats.org/officeDocument/2006/relationships/hyperlink" Target="https://stats.oecd.org/Index.aspx?QueryId=30142&amp;_ga=2.7185588.722996396.1547661294-1828482028.1541880394" TargetMode="External"/><Relationship Id="rId118" Type="http://schemas.openxmlformats.org/officeDocument/2006/relationships/hyperlink" Target="https://tbinternet.ohchr.org/_layouts/treatybodyexternal/Download.aspx?symbolno=CRPD%2FC%2FLUX%2F1&amp;Lang=en" TargetMode="External"/><Relationship Id="rId8" Type="http://schemas.openxmlformats.org/officeDocument/2006/relationships/hyperlink" Target="https://mfamigr.gouvernement.lu/fr/publications.html" TargetMode="External"/><Relationship Id="rId51" Type="http://schemas.openxmlformats.org/officeDocument/2006/relationships/hyperlink" Target="https://www.secu.lu/assurance-dependance/" TargetMode="External"/><Relationship Id="rId72" Type="http://schemas.openxmlformats.org/officeDocument/2006/relationships/hyperlink" Target="https://ec.europa.eu/eip/ageing/actiongroup/index/b3_en" TargetMode="External"/><Relationship Id="rId80" Type="http://schemas.openxmlformats.org/officeDocument/2006/relationships/hyperlink" Target="https://documents-dds-ny.un.org/doc/UNDOC/GEN/G15/201/47/PDF/G1520147.pdf?OpenElement" TargetMode="External"/><Relationship Id="rId85" Type="http://schemas.openxmlformats.org/officeDocument/2006/relationships/hyperlink" Target="https://ccdh.public.lu/fr/avis.html" TargetMode="External"/><Relationship Id="rId93" Type="http://schemas.openxmlformats.org/officeDocument/2006/relationships/hyperlink" Target="https://www.kent.ac.uk/tizard/research/DECL_network/documents/DECLOC_Country_Reports.pdf" TargetMode="External"/><Relationship Id="rId98" Type="http://schemas.openxmlformats.org/officeDocument/2006/relationships/hyperlink" Target="http://www.nemmemateis.lu/online/www/func/news/DEU/index.html" TargetMode="External"/><Relationship Id="rId3" Type="http://schemas.openxmlformats.org/officeDocument/2006/relationships/hyperlink" Target="http://sante.public.lu/fr/publications/r/rapport-rossler-psychiatrie-lux-planungsstudie-2005-bestandaufnahme/index.html" TargetMode="External"/><Relationship Id="rId12" Type="http://schemas.openxmlformats.org/officeDocument/2006/relationships/hyperlink" Target="http://legilux.public.lu/eli/etat/leg/loi/2003/09/12/n1/jo" TargetMode="External"/><Relationship Id="rId17" Type="http://schemas.openxmlformats.org/officeDocument/2006/relationships/hyperlink" Target="https://mfamigr.gouvernement.lu/content/dam/gouv_mfamigr/le-minist&#232;re/attributions/personnes-handicap&#233;es/premier-rapport-periodique-de-mise-en-&#339;uvre-de-la-convention-onu.pdf" TargetMode="External"/><Relationship Id="rId25" Type="http://schemas.openxmlformats.org/officeDocument/2006/relationships/hyperlink" Target="https://stats.oecd.org/Index.aspx?QueryId=30142&amp;_ga=2.7185588.722996396.1547661294-1828482028.1541880394" TargetMode="External"/><Relationship Id="rId33" Type="http://schemas.openxmlformats.org/officeDocument/2006/relationships/hyperlink" Target="http://www.mss.public.lu/publications/rapport_general/rg2017/rg_2017.pdf" TargetMode="External"/><Relationship Id="rId38" Type="http://schemas.openxmlformats.org/officeDocument/2006/relationships/hyperlink" Target="http://www.mss.public.lu/publications/rapport_general/rg2016/rg_2016.pdf" TargetMode="External"/><Relationship Id="rId46" Type="http://schemas.openxmlformats.org/officeDocument/2006/relationships/hyperlink" Target="https://www.disability-europe.net/index.php" TargetMode="External"/><Relationship Id="rId59" Type="http://schemas.openxmlformats.org/officeDocument/2006/relationships/hyperlink" Target="http://www.copas.lu/wp-content/uploads/reforme-psychiatrie-politique-sante-mentale-2013.pdf" TargetMode="External"/><Relationship Id="rId67" Type="http://schemas.openxmlformats.org/officeDocument/2006/relationships/hyperlink" Target="https://mfamigr.gouvernement.lu/damassets/leminist&#232;re/attributions/personnes-handicap&#233;es/plan-d-action-du-gouvernement-luxembourgeois-en-faveur-des-personnes-handicapees.pdf" TargetMode="External"/><Relationship Id="rId103" Type="http://schemas.openxmlformats.org/officeDocument/2006/relationships/hyperlink" Target="http://www.legilux.public.lu/leg/textescoordonnes/recueils/Constitution/Constitution.pdf" TargetMode="External"/><Relationship Id="rId108" Type="http://schemas.openxmlformats.org/officeDocument/2006/relationships/hyperlink" Target="https://stats.oecd.org/Index.aspx?QueryId=30142&amp;_ga=2.7185588.722996396.1547661294-1828482028.1541880394" TargetMode="External"/><Relationship Id="rId116" Type="http://schemas.openxmlformats.org/officeDocument/2006/relationships/hyperlink" Target="https://gouvernement.lu/dam-assets/fr/publications/rapport-activite/minist-famille-integration-grande-region/2017-rapport-activite-famille/2017-rapport-activite-famille.pdf" TargetMode="External"/><Relationship Id="rId20" Type="http://schemas.openxmlformats.org/officeDocument/2006/relationships/hyperlink" Target="https://webcache.googleusercontent.com/search?q=cache:Hnp_yXmX0IJ:https://tbinternet.ohchr.org/Treaties/CRPD/Shared%2520Documents/LUX/CRPD_C_LUX_CO_1_28811_E.docx+&amp;cd=1&amp;hl=de&amp;ct=clnk&amp;gl=de&amp;client=safari" TargetMode="External"/><Relationship Id="rId41" Type="http://schemas.openxmlformats.org/officeDocument/2006/relationships/hyperlink" Target="http://www.mss.public.lu/publications/rapport_general/index.html" TargetMode="External"/><Relationship Id="rId54" Type="http://schemas.openxmlformats.org/officeDocument/2006/relationships/hyperlink" Target="https://www.disabilityeurope.net/dotcom?l%5B%5D=23&amp;t%5B%5D=23&amp;t%5B%5D=24&amp;t%5B%5D=25&amp;t%5B%5D=26&amp;t%5B%5D=27&amp;t%5B%5D=28&amp;t%5B%5D=29&amp;t%5B%5D=30&amp;view_type=matrix" TargetMode="External"/><Relationship Id="rId62" Type="http://schemas.openxmlformats.org/officeDocument/2006/relationships/hyperlink" Target="https://gouvernement.lu/de/publications/accord-coalition/2018-2023.html" TargetMode="External"/><Relationship Id="rId70" Type="http://schemas.openxmlformats.org/officeDocument/2006/relationships/hyperlink" Target="http://www.youtube.com/watch?v=6S8n8vQQgkk&amp;feature=share" TargetMode="External"/><Relationship Id="rId75" Type="http://schemas.openxmlformats.org/officeDocument/2006/relationships/hyperlink" Target="http://www.fonds-europeens.public.lu/fr/projets-cofinances/fse/2014-2020/1042/index.html" TargetMode="External"/><Relationship Id="rId83" Type="http://schemas.openxmlformats.org/officeDocument/2006/relationships/hyperlink" Target="http://docstore.ohchr.org/SelfServices/FilesHandler.ashx?enc=6QkG1d%2FPPRiCAqhKb7yhsvP%2BdTiDrgtVuqxAW%2B69tiKIXBXKWmNQXT%2Fmo%2FEyFUOnby%2FrpQIV67BUhoNbCdpCAc7SlOMvANsJafd2PwWE94Ei7KuLj0qhi2PXCwnuevVb" TargetMode="External"/><Relationship Id="rId88" Type="http://schemas.openxmlformats.org/officeDocument/2006/relationships/hyperlink" Target="http://www.trisomie21.lu" TargetMode="External"/><Relationship Id="rId91" Type="http://schemas.openxmlformats.org/officeDocument/2006/relationships/hyperlink" Target="https://www.caritas.eu/wordpress/wp-content/uploads/2018/11/20171109-PU-Caritas-cares-youth-poverty-country-report-luxembourg.pdf" TargetMode="External"/><Relationship Id="rId96" Type="http://schemas.openxmlformats.org/officeDocument/2006/relationships/hyperlink" Target="https://www.wort.lu/de/lokales/reseau-psy-trente-ans-de-sourires-5b02e6f8c1097cee25b89bb4" TargetMode="External"/><Relationship Id="rId111" Type="http://schemas.openxmlformats.org/officeDocument/2006/relationships/hyperlink" Target="https://stats.oecd.org/Index.aspx?QueryId=30142&amp;_ga=2.7185588.722996396.1547661294-1828482028.1541880394" TargetMode="External"/><Relationship Id="rId1" Type="http://schemas.openxmlformats.org/officeDocument/2006/relationships/hyperlink" Target="https://stats.oecd.org/Index.aspx?QueryId=30142&amp;_ga=2.7185588.722996396.1547661294-1828482028.1541880394" TargetMode="External"/><Relationship Id="rId6" Type="http://schemas.openxmlformats.org/officeDocument/2006/relationships/hyperlink" Target="https://www.kent.ac.uk/tizard/research/DECL_network/documents/DECLOC_Country_Reports.pdf" TargetMode="External"/><Relationship Id="rId15" Type="http://schemas.openxmlformats.org/officeDocument/2006/relationships/hyperlink" Target="https://www.humanconsultancy.com/downloads/342-luxembourg-desk-report-fundamental-rights-situation-of-persons-with-mental-health-problems-and-persons-with-intellectual-disabilities" TargetMode="External"/><Relationship Id="rId23" Type="http://schemas.openxmlformats.org/officeDocument/2006/relationships/hyperlink" Target="http://www.fice-congress2013.ch/programm/abstracts/inklusion-im-nationalen-widerstreit-theoretischer-und-praxeologischer-konze/" TargetMode="External"/><Relationship Id="rId28" Type="http://schemas.openxmlformats.org/officeDocument/2006/relationships/hyperlink" Target="https://fra.europa.eu/en/publication/2017/independent-living-structures" TargetMode="External"/><Relationship Id="rId36" Type="http://schemas.openxmlformats.org/officeDocument/2006/relationships/hyperlink" Target="https://stats.oecd.org/Index.aspx?QueryId=30142&amp;_ga=2.7185588.722996396.1547661294-1828482028.1541880394" TargetMode="External"/><Relationship Id="rId49" Type="http://schemas.openxmlformats.org/officeDocument/2006/relationships/hyperlink" Target="http://fra.europa.eu/en/publication/2017/independent-living-structures" TargetMode="External"/><Relationship Id="rId57" Type="http://schemas.openxmlformats.org/officeDocument/2006/relationships/hyperlink" Target="http://www.nemmemateis.lu/online/www/content/32/542/DEU/index.html" TargetMode="External"/><Relationship Id="rId106" Type="http://schemas.openxmlformats.org/officeDocument/2006/relationships/hyperlink" Target="https://mfamigr.gouvernement.lu/damassets/leminist&#232;re/attributions/personnes-handicap&#233;es/plan-d-action-du-gouvernement-luxembourgeois-en-faveur-des-personnes-handicapees.pdf" TargetMode="External"/><Relationship Id="rId114" Type="http://schemas.openxmlformats.org/officeDocument/2006/relationships/hyperlink" Target="http://www.mss.public.lu/publications/rapport_general/rg2016/rg_2016.pdf" TargetMode="External"/><Relationship Id="rId119" Type="http://schemas.openxmlformats.org/officeDocument/2006/relationships/hyperlink" Target="https://documents-dds-ny.un.org/doc/UNDOC/GEN/G15/201/47/PDF/G1520147.pdf?OpenElement" TargetMode="External"/><Relationship Id="rId10" Type="http://schemas.openxmlformats.org/officeDocument/2006/relationships/hyperlink" Target="https://www.disability-europe.net/downloads/460-lu-7-aned-2009-request-07-task-5-report-on-independent-living-approved-final-in-layout-to-ec" TargetMode="External"/><Relationship Id="rId31" Type="http://schemas.openxmlformats.org/officeDocument/2006/relationships/hyperlink" Target="http://www.mss.public.lu/publications/rapport_general/rg2017/rg_2017.pdf" TargetMode="External"/><Relationship Id="rId44" Type="http://schemas.openxmlformats.org/officeDocument/2006/relationships/hyperlink" Target="http://www.infohandicap.lu/index2.php?option=com_docman&amp;task=doc_view&amp;gid=36&amp;Itemid=26" TargetMode="External"/><Relationship Id="rId52" Type="http://schemas.openxmlformats.org/officeDocument/2006/relationships/hyperlink" Target="https://chd.lu/wps/PA_RoleDesAffaires/FTSByteServingServletImpl?path=C494183FC4B3B0B336289854BC485032D127AEE1A536C19A87CFB52B635B24060FACFF3028C5AB038F480B470730E697$C438EB2AB11CDE7D4AE6DF1EA2866DDD" TargetMode="External"/><Relationship Id="rId60" Type="http://schemas.openxmlformats.org/officeDocument/2006/relationships/hyperlink" Target="https://fra.europa.eu/en/publication/2017/independent-living-structures" TargetMode="External"/><Relationship Id="rId65" Type="http://schemas.openxmlformats.org/officeDocument/2006/relationships/hyperlink" Target="https://ec.europa.eu/info/publications/partnership-agreement-luxembourg-2014-20_en" TargetMode="External"/><Relationship Id="rId73" Type="http://schemas.openxmlformats.org/officeDocument/2006/relationships/hyperlink" Target="http://www.fondseuropeens.public.lu/fr/projetscofinances/index.php?~=do&amp;from=search&amp;r%5B0%5D=f%2Fcategory%2Ffse&amp;r%5B1%5D=f%2Ftype%2Finclusion+sociale+et+pauvrete&amp;res_length=10&amp;q=%23all&amp;s=score&amp;b=10" TargetMode="External"/><Relationship Id="rId78" Type="http://schemas.openxmlformats.org/officeDocument/2006/relationships/hyperlink" Target="https://gouvernement.lu/damassets/fr/actualites/articles/2013/09septembre/26_reformepsychiatrie/Communiqu___de_presse_-_R__forme_de_la_psychiatrie_et_politique_de_sant___mentale.pdf" TargetMode="External"/><Relationship Id="rId81" Type="http://schemas.openxmlformats.org/officeDocument/2006/relationships/hyperlink" Target="https://www.disability-europe.net/downloads/460-lu-7-aned-2009-request-07-task-5-report-on-independent-living-approved-final-in-layout-to-ec" TargetMode="External"/><Relationship Id="rId86" Type="http://schemas.openxmlformats.org/officeDocument/2006/relationships/hyperlink" Target="https://ccdh.public.lu/dam-assets/fr/avis/2018/6-institutionenlandschaft-menschen-mit-behinderung.pdf" TargetMode="External"/><Relationship Id="rId94" Type="http://schemas.openxmlformats.org/officeDocument/2006/relationships/hyperlink" Target="https://www.cambridge.org/core/journals/the-british-journal-of-psychiatry/article/epidemiology-of-involuntary-placement-of-mentally-ill-people-across-the-european-union/3903619595BAD8A9FDEC6A49AACA7D4A" TargetMode="External"/><Relationship Id="rId99" Type="http://schemas.openxmlformats.org/officeDocument/2006/relationships/hyperlink" Target="https://mfamigr.gouvernement.lu/fr/publications/guide-manuel/minist-famille-integration-grande-region/guide-normes-accessibilite.html" TargetMode="External"/><Relationship Id="rId101" Type="http://schemas.openxmlformats.org/officeDocument/2006/relationships/hyperlink" Target="https://mfamigr.gouvernement.lu/dam-assets/publications/brochure-livre/minist-famille-integration-grande-region/br-design-for-all/design-for-all-habitation-adaptable-accessibilite-durable-de.pdf" TargetMode="External"/><Relationship Id="rId4" Type="http://schemas.openxmlformats.org/officeDocument/2006/relationships/hyperlink" Target="https://www.humanconsultancy.com/projects/fundamental-rights-of-persons-with-intellectual-disabilities-and-persons-with-mental-health-problems" TargetMode="External"/><Relationship Id="rId9" Type="http://schemas.openxmlformats.org/officeDocument/2006/relationships/hyperlink" Target="https://www.eurofound.europa.eu/de/surveys/european-quality-of-life-surveys/european-quality-of-life-survey-2012/eqls-2012-methodology" TargetMode="External"/><Relationship Id="rId13" Type="http://schemas.openxmlformats.org/officeDocument/2006/relationships/hyperlink" Target="https://www.disability-europe.net/downloads/284-aned-task-5-independent-living-synthesis-report-14-01-10" TargetMode="External"/><Relationship Id="rId18" Type="http://schemas.openxmlformats.org/officeDocument/2006/relationships/hyperlink" Target="https://webcache.googleusercontent.com/search?q=cache:Hnp_yXmX-0IJ:https://tbinternet.ohchr.org/Treaties/CRPD/Shared%2520Documents/LUX/CRPD_C_LUX_CO_1_28811_E.docx+&amp;cd=1&amp;hl=de&amp;ct=clnk&amp;gl=de&amp;client=safari" TargetMode="External"/><Relationship Id="rId39" Type="http://schemas.openxmlformats.org/officeDocument/2006/relationships/hyperlink" Target="http://www.mss.public.lu/publications/rapport_general/rg2017/rg_2017.pdf" TargetMode="External"/><Relationship Id="rId109" Type="http://schemas.openxmlformats.org/officeDocument/2006/relationships/hyperlink" Target="https://stats.oecd.org/Index.aspx?QueryId=30142&amp;_ga=2.7185588.722996396.1547661294-1828482028.1541880394" TargetMode="External"/><Relationship Id="rId34" Type="http://schemas.openxmlformats.org/officeDocument/2006/relationships/hyperlink" Target="https://gouvernement.lu/dam-assets/fr/publications/rapport-activite/minist-famille-integration-grande-region/2017-rapport-activite-famille/2017-rapport-activite-famille.pdf" TargetMode="External"/><Relationship Id="rId50" Type="http://schemas.openxmlformats.org/officeDocument/2006/relationships/hyperlink" Target="http://www.infohandicap.lu/index2.php?option=com_docman&amp;task=doc_view&amp;gid=36&amp;Itemid=26" TargetMode="External"/><Relationship Id="rId55" Type="http://schemas.openxmlformats.org/officeDocument/2006/relationships/hyperlink" Target="https://logement.public.lu/dam-assets/documents/publications/aides-logement/amenagement-speciaux/amenagements-sp-DE.pdf" TargetMode="External"/><Relationship Id="rId76" Type="http://schemas.openxmlformats.org/officeDocument/2006/relationships/hyperlink" Target="http://www.fedas.lu/wp-content/uploads/2016/10/AGREMENT-services-pour-personnes-en-situation-de-handicap.pdf" TargetMode="External"/><Relationship Id="rId97" Type="http://schemas.openxmlformats.org/officeDocument/2006/relationships/hyperlink" Target="http://www.mss.public.lu/dependance/" TargetMode="External"/><Relationship Id="rId104" Type="http://schemas.openxmlformats.org/officeDocument/2006/relationships/hyperlink" Target="http://cet.lu/wp-content/uploads/2017/07/Brochure.pdf" TargetMode="External"/><Relationship Id="rId120" Type="http://schemas.openxmlformats.org/officeDocument/2006/relationships/hyperlink" Target="https://tbinternet.ohchr.org/_layouts/treatybodyexternal/Download.aspx?symbolno=INT%2fCRPD%2fCSS%2fLUX%2f26160&amp;Lang=en" TargetMode="External"/><Relationship Id="rId7" Type="http://schemas.openxmlformats.org/officeDocument/2006/relationships/hyperlink" Target="https://fra.europa.eu/en/publication/2017/independent-living-outcomes" TargetMode="External"/><Relationship Id="rId71" Type="http://schemas.openxmlformats.org/officeDocument/2006/relationships/hyperlink" Target="https://ec.europa.eu/eip/ageing/actiongroup/index/c2_en" TargetMode="External"/><Relationship Id="rId92" Type="http://schemas.openxmlformats.org/officeDocument/2006/relationships/hyperlink" Target="http://ec.europa.eu/health/ph_projects/2000/promotion/fp_promotion_2000_frep_08_en.pdf" TargetMode="External"/><Relationship Id="rId2" Type="http://schemas.openxmlformats.org/officeDocument/2006/relationships/hyperlink" Target="http://www.sante.public.lu/publications/systeme-sante/politique-nationale-sante/rapport-rossler-psychiatrie-luxembourg-planungsstudie-2005-bestandeserhebung/rapport-rossler-psychiatrie-luxembourg-planungsstudie-2005-bestandeserhebung.pdf" TargetMode="External"/><Relationship Id="rId29" Type="http://schemas.openxmlformats.org/officeDocument/2006/relationships/hyperlink" Target="https://fra.europa.eu/en/publication/2017/independent-living-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FB7F1-26C4-4EF8-A520-2607AC2E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45</Pages>
  <Words>14987</Words>
  <Characters>82433</Characters>
  <Application>Microsoft Office Word</Application>
  <DocSecurity>0</DocSecurity>
  <Lines>686</Lines>
  <Paragraphs>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97226</CharactersWithSpaces>
  <SharedDoc>false</SharedDoc>
  <HyperlinkBase/>
  <HLinks>
    <vt:vector size="924" baseType="variant">
      <vt:variant>
        <vt:i4>1835065</vt:i4>
      </vt:variant>
      <vt:variant>
        <vt:i4>200</vt:i4>
      </vt:variant>
      <vt:variant>
        <vt:i4>0</vt:i4>
      </vt:variant>
      <vt:variant>
        <vt:i4>5</vt:i4>
      </vt:variant>
      <vt:variant>
        <vt:lpwstr/>
      </vt:variant>
      <vt:variant>
        <vt:lpwstr>_Toc531943926</vt:lpwstr>
      </vt:variant>
      <vt:variant>
        <vt:i4>1835065</vt:i4>
      </vt:variant>
      <vt:variant>
        <vt:i4>194</vt:i4>
      </vt:variant>
      <vt:variant>
        <vt:i4>0</vt:i4>
      </vt:variant>
      <vt:variant>
        <vt:i4>5</vt:i4>
      </vt:variant>
      <vt:variant>
        <vt:lpwstr/>
      </vt:variant>
      <vt:variant>
        <vt:lpwstr>_Toc531943925</vt:lpwstr>
      </vt:variant>
      <vt:variant>
        <vt:i4>1835065</vt:i4>
      </vt:variant>
      <vt:variant>
        <vt:i4>188</vt:i4>
      </vt:variant>
      <vt:variant>
        <vt:i4>0</vt:i4>
      </vt:variant>
      <vt:variant>
        <vt:i4>5</vt:i4>
      </vt:variant>
      <vt:variant>
        <vt:lpwstr/>
      </vt:variant>
      <vt:variant>
        <vt:lpwstr>_Toc531943924</vt:lpwstr>
      </vt:variant>
      <vt:variant>
        <vt:i4>1835065</vt:i4>
      </vt:variant>
      <vt:variant>
        <vt:i4>182</vt:i4>
      </vt:variant>
      <vt:variant>
        <vt:i4>0</vt:i4>
      </vt:variant>
      <vt:variant>
        <vt:i4>5</vt:i4>
      </vt:variant>
      <vt:variant>
        <vt:lpwstr/>
      </vt:variant>
      <vt:variant>
        <vt:lpwstr>_Toc531943923</vt:lpwstr>
      </vt:variant>
      <vt:variant>
        <vt:i4>1835065</vt:i4>
      </vt:variant>
      <vt:variant>
        <vt:i4>176</vt:i4>
      </vt:variant>
      <vt:variant>
        <vt:i4>0</vt:i4>
      </vt:variant>
      <vt:variant>
        <vt:i4>5</vt:i4>
      </vt:variant>
      <vt:variant>
        <vt:lpwstr/>
      </vt:variant>
      <vt:variant>
        <vt:lpwstr>_Toc531943922</vt:lpwstr>
      </vt:variant>
      <vt:variant>
        <vt:i4>1835065</vt:i4>
      </vt:variant>
      <vt:variant>
        <vt:i4>170</vt:i4>
      </vt:variant>
      <vt:variant>
        <vt:i4>0</vt:i4>
      </vt:variant>
      <vt:variant>
        <vt:i4>5</vt:i4>
      </vt:variant>
      <vt:variant>
        <vt:lpwstr/>
      </vt:variant>
      <vt:variant>
        <vt:lpwstr>_Toc531943921</vt:lpwstr>
      </vt:variant>
      <vt:variant>
        <vt:i4>1835065</vt:i4>
      </vt:variant>
      <vt:variant>
        <vt:i4>164</vt:i4>
      </vt:variant>
      <vt:variant>
        <vt:i4>0</vt:i4>
      </vt:variant>
      <vt:variant>
        <vt:i4>5</vt:i4>
      </vt:variant>
      <vt:variant>
        <vt:lpwstr/>
      </vt:variant>
      <vt:variant>
        <vt:lpwstr>_Toc531943920</vt:lpwstr>
      </vt:variant>
      <vt:variant>
        <vt:i4>2031673</vt:i4>
      </vt:variant>
      <vt:variant>
        <vt:i4>158</vt:i4>
      </vt:variant>
      <vt:variant>
        <vt:i4>0</vt:i4>
      </vt:variant>
      <vt:variant>
        <vt:i4>5</vt:i4>
      </vt:variant>
      <vt:variant>
        <vt:lpwstr/>
      </vt:variant>
      <vt:variant>
        <vt:lpwstr>_Toc531943919</vt:lpwstr>
      </vt:variant>
      <vt:variant>
        <vt:i4>2031673</vt:i4>
      </vt:variant>
      <vt:variant>
        <vt:i4>152</vt:i4>
      </vt:variant>
      <vt:variant>
        <vt:i4>0</vt:i4>
      </vt:variant>
      <vt:variant>
        <vt:i4>5</vt:i4>
      </vt:variant>
      <vt:variant>
        <vt:lpwstr/>
      </vt:variant>
      <vt:variant>
        <vt:lpwstr>_Toc531943918</vt:lpwstr>
      </vt:variant>
      <vt:variant>
        <vt:i4>2031673</vt:i4>
      </vt:variant>
      <vt:variant>
        <vt:i4>146</vt:i4>
      </vt:variant>
      <vt:variant>
        <vt:i4>0</vt:i4>
      </vt:variant>
      <vt:variant>
        <vt:i4>5</vt:i4>
      </vt:variant>
      <vt:variant>
        <vt:lpwstr/>
      </vt:variant>
      <vt:variant>
        <vt:lpwstr>_Toc531943917</vt:lpwstr>
      </vt:variant>
      <vt:variant>
        <vt:i4>2031673</vt:i4>
      </vt:variant>
      <vt:variant>
        <vt:i4>140</vt:i4>
      </vt:variant>
      <vt:variant>
        <vt:i4>0</vt:i4>
      </vt:variant>
      <vt:variant>
        <vt:i4>5</vt:i4>
      </vt:variant>
      <vt:variant>
        <vt:lpwstr/>
      </vt:variant>
      <vt:variant>
        <vt:lpwstr>_Toc531943916</vt:lpwstr>
      </vt:variant>
      <vt:variant>
        <vt:i4>2031673</vt:i4>
      </vt:variant>
      <vt:variant>
        <vt:i4>134</vt:i4>
      </vt:variant>
      <vt:variant>
        <vt:i4>0</vt:i4>
      </vt:variant>
      <vt:variant>
        <vt:i4>5</vt:i4>
      </vt:variant>
      <vt:variant>
        <vt:lpwstr/>
      </vt:variant>
      <vt:variant>
        <vt:lpwstr>_Toc531943915</vt:lpwstr>
      </vt:variant>
      <vt:variant>
        <vt:i4>2031673</vt:i4>
      </vt:variant>
      <vt:variant>
        <vt:i4>128</vt:i4>
      </vt:variant>
      <vt:variant>
        <vt:i4>0</vt:i4>
      </vt:variant>
      <vt:variant>
        <vt:i4>5</vt:i4>
      </vt:variant>
      <vt:variant>
        <vt:lpwstr/>
      </vt:variant>
      <vt:variant>
        <vt:lpwstr>_Toc531943914</vt:lpwstr>
      </vt:variant>
      <vt:variant>
        <vt:i4>2031673</vt:i4>
      </vt:variant>
      <vt:variant>
        <vt:i4>122</vt:i4>
      </vt:variant>
      <vt:variant>
        <vt:i4>0</vt:i4>
      </vt:variant>
      <vt:variant>
        <vt:i4>5</vt:i4>
      </vt:variant>
      <vt:variant>
        <vt:lpwstr/>
      </vt:variant>
      <vt:variant>
        <vt:lpwstr>_Toc531943913</vt:lpwstr>
      </vt:variant>
      <vt:variant>
        <vt:i4>2031673</vt:i4>
      </vt:variant>
      <vt:variant>
        <vt:i4>116</vt:i4>
      </vt:variant>
      <vt:variant>
        <vt:i4>0</vt:i4>
      </vt:variant>
      <vt:variant>
        <vt:i4>5</vt:i4>
      </vt:variant>
      <vt:variant>
        <vt:lpwstr/>
      </vt:variant>
      <vt:variant>
        <vt:lpwstr>_Toc531943912</vt:lpwstr>
      </vt:variant>
      <vt:variant>
        <vt:i4>2031673</vt:i4>
      </vt:variant>
      <vt:variant>
        <vt:i4>110</vt:i4>
      </vt:variant>
      <vt:variant>
        <vt:i4>0</vt:i4>
      </vt:variant>
      <vt:variant>
        <vt:i4>5</vt:i4>
      </vt:variant>
      <vt:variant>
        <vt:lpwstr/>
      </vt:variant>
      <vt:variant>
        <vt:lpwstr>_Toc531943911</vt:lpwstr>
      </vt:variant>
      <vt:variant>
        <vt:i4>2031673</vt:i4>
      </vt:variant>
      <vt:variant>
        <vt:i4>104</vt:i4>
      </vt:variant>
      <vt:variant>
        <vt:i4>0</vt:i4>
      </vt:variant>
      <vt:variant>
        <vt:i4>5</vt:i4>
      </vt:variant>
      <vt:variant>
        <vt:lpwstr/>
      </vt:variant>
      <vt:variant>
        <vt:lpwstr>_Toc531943910</vt:lpwstr>
      </vt:variant>
      <vt:variant>
        <vt:i4>1966137</vt:i4>
      </vt:variant>
      <vt:variant>
        <vt:i4>98</vt:i4>
      </vt:variant>
      <vt:variant>
        <vt:i4>0</vt:i4>
      </vt:variant>
      <vt:variant>
        <vt:i4>5</vt:i4>
      </vt:variant>
      <vt:variant>
        <vt:lpwstr/>
      </vt:variant>
      <vt:variant>
        <vt:lpwstr>_Toc531943909</vt:lpwstr>
      </vt:variant>
      <vt:variant>
        <vt:i4>1966137</vt:i4>
      </vt:variant>
      <vt:variant>
        <vt:i4>92</vt:i4>
      </vt:variant>
      <vt:variant>
        <vt:i4>0</vt:i4>
      </vt:variant>
      <vt:variant>
        <vt:i4>5</vt:i4>
      </vt:variant>
      <vt:variant>
        <vt:lpwstr/>
      </vt:variant>
      <vt:variant>
        <vt:lpwstr>_Toc531943908</vt:lpwstr>
      </vt:variant>
      <vt:variant>
        <vt:i4>1966137</vt:i4>
      </vt:variant>
      <vt:variant>
        <vt:i4>86</vt:i4>
      </vt:variant>
      <vt:variant>
        <vt:i4>0</vt:i4>
      </vt:variant>
      <vt:variant>
        <vt:i4>5</vt:i4>
      </vt:variant>
      <vt:variant>
        <vt:lpwstr/>
      </vt:variant>
      <vt:variant>
        <vt:lpwstr>_Toc531943907</vt:lpwstr>
      </vt:variant>
      <vt:variant>
        <vt:i4>1966137</vt:i4>
      </vt:variant>
      <vt:variant>
        <vt:i4>80</vt:i4>
      </vt:variant>
      <vt:variant>
        <vt:i4>0</vt:i4>
      </vt:variant>
      <vt:variant>
        <vt:i4>5</vt:i4>
      </vt:variant>
      <vt:variant>
        <vt:lpwstr/>
      </vt:variant>
      <vt:variant>
        <vt:lpwstr>_Toc531943906</vt:lpwstr>
      </vt:variant>
      <vt:variant>
        <vt:i4>1966137</vt:i4>
      </vt:variant>
      <vt:variant>
        <vt:i4>74</vt:i4>
      </vt:variant>
      <vt:variant>
        <vt:i4>0</vt:i4>
      </vt:variant>
      <vt:variant>
        <vt:i4>5</vt:i4>
      </vt:variant>
      <vt:variant>
        <vt:lpwstr/>
      </vt:variant>
      <vt:variant>
        <vt:lpwstr>_Toc531943905</vt:lpwstr>
      </vt:variant>
      <vt:variant>
        <vt:i4>1966137</vt:i4>
      </vt:variant>
      <vt:variant>
        <vt:i4>68</vt:i4>
      </vt:variant>
      <vt:variant>
        <vt:i4>0</vt:i4>
      </vt:variant>
      <vt:variant>
        <vt:i4>5</vt:i4>
      </vt:variant>
      <vt:variant>
        <vt:lpwstr/>
      </vt:variant>
      <vt:variant>
        <vt:lpwstr>_Toc531943904</vt:lpwstr>
      </vt:variant>
      <vt:variant>
        <vt:i4>1966137</vt:i4>
      </vt:variant>
      <vt:variant>
        <vt:i4>62</vt:i4>
      </vt:variant>
      <vt:variant>
        <vt:i4>0</vt:i4>
      </vt:variant>
      <vt:variant>
        <vt:i4>5</vt:i4>
      </vt:variant>
      <vt:variant>
        <vt:lpwstr/>
      </vt:variant>
      <vt:variant>
        <vt:lpwstr>_Toc531943903</vt:lpwstr>
      </vt:variant>
      <vt:variant>
        <vt:i4>1966137</vt:i4>
      </vt:variant>
      <vt:variant>
        <vt:i4>56</vt:i4>
      </vt:variant>
      <vt:variant>
        <vt:i4>0</vt:i4>
      </vt:variant>
      <vt:variant>
        <vt:i4>5</vt:i4>
      </vt:variant>
      <vt:variant>
        <vt:lpwstr/>
      </vt:variant>
      <vt:variant>
        <vt:lpwstr>_Toc531943902</vt:lpwstr>
      </vt:variant>
      <vt:variant>
        <vt:i4>1966137</vt:i4>
      </vt:variant>
      <vt:variant>
        <vt:i4>50</vt:i4>
      </vt:variant>
      <vt:variant>
        <vt:i4>0</vt:i4>
      </vt:variant>
      <vt:variant>
        <vt:i4>5</vt:i4>
      </vt:variant>
      <vt:variant>
        <vt:lpwstr/>
      </vt:variant>
      <vt:variant>
        <vt:lpwstr>_Toc531943901</vt:lpwstr>
      </vt:variant>
      <vt:variant>
        <vt:i4>1966137</vt:i4>
      </vt:variant>
      <vt:variant>
        <vt:i4>44</vt:i4>
      </vt:variant>
      <vt:variant>
        <vt:i4>0</vt:i4>
      </vt:variant>
      <vt:variant>
        <vt:i4>5</vt:i4>
      </vt:variant>
      <vt:variant>
        <vt:lpwstr/>
      </vt:variant>
      <vt:variant>
        <vt:lpwstr>_Toc531943900</vt:lpwstr>
      </vt:variant>
      <vt:variant>
        <vt:i4>1507384</vt:i4>
      </vt:variant>
      <vt:variant>
        <vt:i4>38</vt:i4>
      </vt:variant>
      <vt:variant>
        <vt:i4>0</vt:i4>
      </vt:variant>
      <vt:variant>
        <vt:i4>5</vt:i4>
      </vt:variant>
      <vt:variant>
        <vt:lpwstr/>
      </vt:variant>
      <vt:variant>
        <vt:lpwstr>_Toc531943899</vt:lpwstr>
      </vt:variant>
      <vt:variant>
        <vt:i4>1507384</vt:i4>
      </vt:variant>
      <vt:variant>
        <vt:i4>32</vt:i4>
      </vt:variant>
      <vt:variant>
        <vt:i4>0</vt:i4>
      </vt:variant>
      <vt:variant>
        <vt:i4>5</vt:i4>
      </vt:variant>
      <vt:variant>
        <vt:lpwstr/>
      </vt:variant>
      <vt:variant>
        <vt:lpwstr>_Toc531943898</vt:lpwstr>
      </vt:variant>
      <vt:variant>
        <vt:i4>1507384</vt:i4>
      </vt:variant>
      <vt:variant>
        <vt:i4>26</vt:i4>
      </vt:variant>
      <vt:variant>
        <vt:i4>0</vt:i4>
      </vt:variant>
      <vt:variant>
        <vt:i4>5</vt:i4>
      </vt:variant>
      <vt:variant>
        <vt:lpwstr/>
      </vt:variant>
      <vt:variant>
        <vt:lpwstr>_Toc531943897</vt:lpwstr>
      </vt:variant>
      <vt:variant>
        <vt:i4>1507384</vt:i4>
      </vt:variant>
      <vt:variant>
        <vt:i4>20</vt:i4>
      </vt:variant>
      <vt:variant>
        <vt:i4>0</vt:i4>
      </vt:variant>
      <vt:variant>
        <vt:i4>5</vt:i4>
      </vt:variant>
      <vt:variant>
        <vt:lpwstr/>
      </vt:variant>
      <vt:variant>
        <vt:lpwstr>_Toc531943896</vt:lpwstr>
      </vt:variant>
      <vt:variant>
        <vt:i4>1507384</vt:i4>
      </vt:variant>
      <vt:variant>
        <vt:i4>14</vt:i4>
      </vt:variant>
      <vt:variant>
        <vt:i4>0</vt:i4>
      </vt:variant>
      <vt:variant>
        <vt:i4>5</vt:i4>
      </vt:variant>
      <vt:variant>
        <vt:lpwstr/>
      </vt:variant>
      <vt:variant>
        <vt:lpwstr>_Toc531943895</vt:lpwstr>
      </vt:variant>
      <vt:variant>
        <vt:i4>1507384</vt:i4>
      </vt:variant>
      <vt:variant>
        <vt:i4>8</vt:i4>
      </vt:variant>
      <vt:variant>
        <vt:i4>0</vt:i4>
      </vt:variant>
      <vt:variant>
        <vt:i4>5</vt:i4>
      </vt:variant>
      <vt:variant>
        <vt:lpwstr/>
      </vt:variant>
      <vt:variant>
        <vt:lpwstr>_Toc531943894</vt:lpwstr>
      </vt:variant>
      <vt:variant>
        <vt:i4>1507384</vt:i4>
      </vt:variant>
      <vt:variant>
        <vt:i4>2</vt:i4>
      </vt:variant>
      <vt:variant>
        <vt:i4>0</vt:i4>
      </vt:variant>
      <vt:variant>
        <vt:i4>5</vt:i4>
      </vt:variant>
      <vt:variant>
        <vt:lpwstr/>
      </vt:variant>
      <vt:variant>
        <vt:lpwstr>_Toc531943893</vt:lpwstr>
      </vt:variant>
      <vt:variant>
        <vt:i4>720958</vt:i4>
      </vt:variant>
      <vt:variant>
        <vt:i4>357</vt:i4>
      </vt:variant>
      <vt:variant>
        <vt:i4>0</vt:i4>
      </vt:variant>
      <vt:variant>
        <vt:i4>5</vt:i4>
      </vt:variant>
      <vt:variant>
        <vt:lpwstr>https://tbinternet.ohchr.org/_layouts/treatybodyexternal/Download.aspx?symbolno=INT%2fCRPD%2fCSS%2fLUX%2f26160&amp;Lang=en</vt:lpwstr>
      </vt:variant>
      <vt:variant>
        <vt:lpwstr/>
      </vt:variant>
      <vt:variant>
        <vt:i4>5701639</vt:i4>
      </vt:variant>
      <vt:variant>
        <vt:i4>354</vt:i4>
      </vt:variant>
      <vt:variant>
        <vt:i4>0</vt:i4>
      </vt:variant>
      <vt:variant>
        <vt:i4>5</vt:i4>
      </vt:variant>
      <vt:variant>
        <vt:lpwstr>https://documents-dds-ny.un.org/doc/UNDOC/GEN/G15/201/47/PDF/G1520147.pdf?OpenElement</vt:lpwstr>
      </vt:variant>
      <vt:variant>
        <vt:lpwstr/>
      </vt:variant>
      <vt:variant>
        <vt:i4>5701730</vt:i4>
      </vt:variant>
      <vt:variant>
        <vt:i4>351</vt:i4>
      </vt:variant>
      <vt:variant>
        <vt:i4>0</vt:i4>
      </vt:variant>
      <vt:variant>
        <vt:i4>5</vt:i4>
      </vt:variant>
      <vt:variant>
        <vt:lpwstr>https://tbinternet.ohchr.org/_layouts/treatybodyexternal/Download.aspx?symbolno=CRPD%2FC%2FLUX%2F1&amp;Lang=en</vt:lpwstr>
      </vt:variant>
      <vt:variant>
        <vt:lpwstr/>
      </vt:variant>
      <vt:variant>
        <vt:i4>3539040</vt:i4>
      </vt:variant>
      <vt:variant>
        <vt:i4>348</vt:i4>
      </vt:variant>
      <vt:variant>
        <vt:i4>0</vt:i4>
      </vt:variant>
      <vt:variant>
        <vt:i4>5</vt:i4>
      </vt:variant>
      <vt:variant>
        <vt:lpwstr>https://gouvernement.lu/de/publications/accord-coalition/2018-2023.html</vt:lpwstr>
      </vt:variant>
      <vt:variant>
        <vt:lpwstr/>
      </vt:variant>
      <vt:variant>
        <vt:i4>5177435</vt:i4>
      </vt:variant>
      <vt:variant>
        <vt:i4>345</vt:i4>
      </vt:variant>
      <vt:variant>
        <vt:i4>0</vt:i4>
      </vt:variant>
      <vt:variant>
        <vt:i4>5</vt:i4>
      </vt:variant>
      <vt:variant>
        <vt:lpwstr>https://gouvernement.lu/dam-assets/fr/publications/rapport-activite/minist-famille-integration-grande-region/2017-rapport-activite-famille/2017-rapport-activite-famille.pdf</vt:lpwstr>
      </vt:variant>
      <vt:variant>
        <vt:lpwstr/>
      </vt:variant>
      <vt:variant>
        <vt:i4>589912</vt:i4>
      </vt:variant>
      <vt:variant>
        <vt:i4>342</vt:i4>
      </vt:variant>
      <vt:variant>
        <vt:i4>0</vt:i4>
      </vt:variant>
      <vt:variant>
        <vt:i4>5</vt:i4>
      </vt:variant>
      <vt:variant>
        <vt:lpwstr>http://www.mss.public.lu/publications/rapport_general/rg2017/rg_2017.pdf</vt:lpwstr>
      </vt:variant>
      <vt:variant>
        <vt:lpwstr/>
      </vt:variant>
      <vt:variant>
        <vt:i4>589912</vt:i4>
      </vt:variant>
      <vt:variant>
        <vt:i4>339</vt:i4>
      </vt:variant>
      <vt:variant>
        <vt:i4>0</vt:i4>
      </vt:variant>
      <vt:variant>
        <vt:i4>5</vt:i4>
      </vt:variant>
      <vt:variant>
        <vt:lpwstr>http://www.mss.public.lu/publications/rapport_general/rg2016/rg_2016.pdf</vt:lpwstr>
      </vt:variant>
      <vt:variant>
        <vt:lpwstr/>
      </vt:variant>
      <vt:variant>
        <vt:i4>4194412</vt:i4>
      </vt:variant>
      <vt:variant>
        <vt:i4>336</vt:i4>
      </vt:variant>
      <vt:variant>
        <vt:i4>0</vt:i4>
      </vt:variant>
      <vt:variant>
        <vt:i4>5</vt:i4>
      </vt:variant>
      <vt:variant>
        <vt:lpwstr>https://stats.oecd.org/Index.aspx?QueryId=30142&amp;_ga=2.7185588.722996396.1547661294-1828482028.1541880394</vt:lpwstr>
      </vt:variant>
      <vt:variant>
        <vt:lpwstr/>
      </vt:variant>
      <vt:variant>
        <vt:i4>4194412</vt:i4>
      </vt:variant>
      <vt:variant>
        <vt:i4>333</vt:i4>
      </vt:variant>
      <vt:variant>
        <vt:i4>0</vt:i4>
      </vt:variant>
      <vt:variant>
        <vt:i4>5</vt:i4>
      </vt:variant>
      <vt:variant>
        <vt:lpwstr>https://stats.oecd.org/Index.aspx?QueryId=30142&amp;_ga=2.7185588.722996396.1547661294-1828482028.1541880394</vt:lpwstr>
      </vt:variant>
      <vt:variant>
        <vt:lpwstr/>
      </vt:variant>
      <vt:variant>
        <vt:i4>4194412</vt:i4>
      </vt:variant>
      <vt:variant>
        <vt:i4>330</vt:i4>
      </vt:variant>
      <vt:variant>
        <vt:i4>0</vt:i4>
      </vt:variant>
      <vt:variant>
        <vt:i4>5</vt:i4>
      </vt:variant>
      <vt:variant>
        <vt:lpwstr>https://stats.oecd.org/Index.aspx?QueryId=30142&amp;_ga=2.7185588.722996396.1547661294-1828482028.1541880394</vt:lpwstr>
      </vt:variant>
      <vt:variant>
        <vt:lpwstr/>
      </vt:variant>
      <vt:variant>
        <vt:i4>4194412</vt:i4>
      </vt:variant>
      <vt:variant>
        <vt:i4>327</vt:i4>
      </vt:variant>
      <vt:variant>
        <vt:i4>0</vt:i4>
      </vt:variant>
      <vt:variant>
        <vt:i4>5</vt:i4>
      </vt:variant>
      <vt:variant>
        <vt:lpwstr>https://stats.oecd.org/Index.aspx?QueryId=30142&amp;_ga=2.7185588.722996396.1547661294-1828482028.1541880394</vt:lpwstr>
      </vt:variant>
      <vt:variant>
        <vt:lpwstr/>
      </vt:variant>
      <vt:variant>
        <vt:i4>4194412</vt:i4>
      </vt:variant>
      <vt:variant>
        <vt:i4>324</vt:i4>
      </vt:variant>
      <vt:variant>
        <vt:i4>0</vt:i4>
      </vt:variant>
      <vt:variant>
        <vt:i4>5</vt:i4>
      </vt:variant>
      <vt:variant>
        <vt:lpwstr>https://stats.oecd.org/Index.aspx?QueryId=30142&amp;_ga=2.7185588.722996396.1547661294-1828482028.1541880394</vt:lpwstr>
      </vt:variant>
      <vt:variant>
        <vt:lpwstr/>
      </vt:variant>
      <vt:variant>
        <vt:i4>4194412</vt:i4>
      </vt:variant>
      <vt:variant>
        <vt:i4>321</vt:i4>
      </vt:variant>
      <vt:variant>
        <vt:i4>0</vt:i4>
      </vt:variant>
      <vt:variant>
        <vt:i4>5</vt:i4>
      </vt:variant>
      <vt:variant>
        <vt:lpwstr>https://stats.oecd.org/Index.aspx?QueryId=30142&amp;_ga=2.7185588.722996396.1547661294-1828482028.1541880394</vt:lpwstr>
      </vt:variant>
      <vt:variant>
        <vt:lpwstr/>
      </vt:variant>
      <vt:variant>
        <vt:i4>6160394</vt:i4>
      </vt:variant>
      <vt:variant>
        <vt:i4>318</vt:i4>
      </vt:variant>
      <vt:variant>
        <vt:i4>0</vt:i4>
      </vt:variant>
      <vt:variant>
        <vt:i4>5</vt:i4>
      </vt:variant>
      <vt:variant>
        <vt:lpwstr>http://cet.lu/wp-content/uploads/2017/07/Brochure.pdf</vt:lpwstr>
      </vt:variant>
      <vt:variant>
        <vt:lpwstr/>
      </vt:variant>
      <vt:variant>
        <vt:i4>10944701</vt:i4>
      </vt:variant>
      <vt:variant>
        <vt:i4>315</vt:i4>
      </vt:variant>
      <vt:variant>
        <vt:i4>0</vt:i4>
      </vt:variant>
      <vt:variant>
        <vt:i4>5</vt:i4>
      </vt:variant>
      <vt:variant>
        <vt:lpwstr>https://mfamigr.gouvernement.lu/dam-assets/le-ministère/attributions/personnes-handicapées/plan-d-action-du-gouvernement-luxembourgeois-en-faveur-des-personnes-handicapees.pdf</vt:lpwstr>
      </vt:variant>
      <vt:variant>
        <vt:lpwstr/>
      </vt:variant>
      <vt:variant>
        <vt:i4>5308507</vt:i4>
      </vt:variant>
      <vt:variant>
        <vt:i4>312</vt:i4>
      </vt:variant>
      <vt:variant>
        <vt:i4>0</vt:i4>
      </vt:variant>
      <vt:variant>
        <vt:i4>5</vt:i4>
      </vt:variant>
      <vt:variant>
        <vt:lpwstr>https://www.pressreader.com/</vt:lpwstr>
      </vt:variant>
      <vt:variant>
        <vt:lpwstr/>
      </vt:variant>
      <vt:variant>
        <vt:i4>1572885</vt:i4>
      </vt:variant>
      <vt:variant>
        <vt:i4>309</vt:i4>
      </vt:variant>
      <vt:variant>
        <vt:i4>0</vt:i4>
      </vt:variant>
      <vt:variant>
        <vt:i4>5</vt:i4>
      </vt:variant>
      <vt:variant>
        <vt:lpwstr>http://www.legilux.public.lu/leg/textescoordonnes/recueils/Constitution/Constitution.pdf</vt:lpwstr>
      </vt:variant>
      <vt:variant>
        <vt:lpwstr/>
      </vt:variant>
      <vt:variant>
        <vt:i4>7733347</vt:i4>
      </vt:variant>
      <vt:variant>
        <vt:i4>306</vt:i4>
      </vt:variant>
      <vt:variant>
        <vt:i4>0</vt:i4>
      </vt:variant>
      <vt:variant>
        <vt:i4>5</vt:i4>
      </vt:variant>
      <vt:variant>
        <vt:lpwstr>http://www.fice-congress2013.ch/programm/abstracts/inklusion-im-nationalen-widerstreit-theoretischer-und-praxeologischer-konze/</vt:lpwstr>
      </vt:variant>
      <vt:variant>
        <vt:lpwstr/>
      </vt:variant>
      <vt:variant>
        <vt:i4>3145784</vt:i4>
      </vt:variant>
      <vt:variant>
        <vt:i4>303</vt:i4>
      </vt:variant>
      <vt:variant>
        <vt:i4>0</vt:i4>
      </vt:variant>
      <vt:variant>
        <vt:i4>5</vt:i4>
      </vt:variant>
      <vt:variant>
        <vt:lpwstr>https://mfamigr.gouvernement.lu/dam-assets/publications/brochure-livre/minist-famille-integration-grande-region/br-design-for-all/design-for-all-habitation-adaptable-accessibilite-durable-de.pdf</vt:lpwstr>
      </vt:variant>
      <vt:variant>
        <vt:lpwstr/>
      </vt:variant>
      <vt:variant>
        <vt:i4>6357117</vt:i4>
      </vt:variant>
      <vt:variant>
        <vt:i4>300</vt:i4>
      </vt:variant>
      <vt:variant>
        <vt:i4>0</vt:i4>
      </vt:variant>
      <vt:variant>
        <vt:i4>5</vt:i4>
      </vt:variant>
      <vt:variant>
        <vt:lpwstr>http://data.legilux.public.lu/file/eli-etat-leg-recueil-accessibilite_lieux_publics-20081224-fr-pdf.pdf</vt:lpwstr>
      </vt:variant>
      <vt:variant>
        <vt:lpwstr/>
      </vt:variant>
      <vt:variant>
        <vt:i4>4784194</vt:i4>
      </vt:variant>
      <vt:variant>
        <vt:i4>297</vt:i4>
      </vt:variant>
      <vt:variant>
        <vt:i4>0</vt:i4>
      </vt:variant>
      <vt:variant>
        <vt:i4>5</vt:i4>
      </vt:variant>
      <vt:variant>
        <vt:lpwstr>https://mfamigr.gouvernement.lu/fr/publications/guide-manuel/minist-famille-integration-grande-region/guide-normes-accessibilite.html</vt:lpwstr>
      </vt:variant>
      <vt:variant>
        <vt:lpwstr/>
      </vt:variant>
      <vt:variant>
        <vt:i4>4915282</vt:i4>
      </vt:variant>
      <vt:variant>
        <vt:i4>294</vt:i4>
      </vt:variant>
      <vt:variant>
        <vt:i4>0</vt:i4>
      </vt:variant>
      <vt:variant>
        <vt:i4>5</vt:i4>
      </vt:variant>
      <vt:variant>
        <vt:lpwstr>http://www.nemmemateis.lu/online/www/func/news/DEU/index.html</vt:lpwstr>
      </vt:variant>
      <vt:variant>
        <vt:lpwstr/>
      </vt:variant>
      <vt:variant>
        <vt:i4>4325467</vt:i4>
      </vt:variant>
      <vt:variant>
        <vt:i4>291</vt:i4>
      </vt:variant>
      <vt:variant>
        <vt:i4>0</vt:i4>
      </vt:variant>
      <vt:variant>
        <vt:i4>5</vt:i4>
      </vt:variant>
      <vt:variant>
        <vt:lpwstr>http://www.mss.public.lu/dependance/</vt:lpwstr>
      </vt:variant>
      <vt:variant>
        <vt:lpwstr/>
      </vt:variant>
      <vt:variant>
        <vt:i4>4980763</vt:i4>
      </vt:variant>
      <vt:variant>
        <vt:i4>288</vt:i4>
      </vt:variant>
      <vt:variant>
        <vt:i4>0</vt:i4>
      </vt:variant>
      <vt:variant>
        <vt:i4>5</vt:i4>
      </vt:variant>
      <vt:variant>
        <vt:lpwstr>https://www.wort.lu/de/lokales/reseau-psy-trente-ans-de-sourires-5b02e6f8c1097cee25b89bb4</vt:lpwstr>
      </vt:variant>
      <vt:variant>
        <vt:lpwstr/>
      </vt:variant>
      <vt:variant>
        <vt:i4>3211390</vt:i4>
      </vt:variant>
      <vt:variant>
        <vt:i4>285</vt:i4>
      </vt:variant>
      <vt:variant>
        <vt:i4>0</vt:i4>
      </vt:variant>
      <vt:variant>
        <vt:i4>5</vt:i4>
      </vt:variant>
      <vt:variant>
        <vt:lpwstr>http://www.copas.lu/wp-content/uploads/reforme-psychiatrie-politique-sante-mentale-2013.pdf</vt:lpwstr>
      </vt:variant>
      <vt:variant>
        <vt:lpwstr/>
      </vt:variant>
      <vt:variant>
        <vt:i4>5242897</vt:i4>
      </vt:variant>
      <vt:variant>
        <vt:i4>282</vt:i4>
      </vt:variant>
      <vt:variant>
        <vt:i4>0</vt:i4>
      </vt:variant>
      <vt:variant>
        <vt:i4>5</vt:i4>
      </vt:variant>
      <vt:variant>
        <vt:lpwstr>https://www.cambridge.org/core/journals/the-british-journal-of-psychiatry/article/epidemiology-of-involuntary-placement-of-mentally-ill-people-across-the-european-union/3903619595BAD8A9FDEC6A49AACA7D4A</vt:lpwstr>
      </vt:variant>
      <vt:variant>
        <vt:lpwstr/>
      </vt:variant>
      <vt:variant>
        <vt:i4>6488157</vt:i4>
      </vt:variant>
      <vt:variant>
        <vt:i4>279</vt:i4>
      </vt:variant>
      <vt:variant>
        <vt:i4>0</vt:i4>
      </vt:variant>
      <vt:variant>
        <vt:i4>5</vt:i4>
      </vt:variant>
      <vt:variant>
        <vt:lpwstr>https://www.kent.ac.uk/tizard/research/DECL_network/documents/DECLOC_Country_Reports.pdf</vt:lpwstr>
      </vt:variant>
      <vt:variant>
        <vt:lpwstr/>
      </vt:variant>
      <vt:variant>
        <vt:i4>6160403</vt:i4>
      </vt:variant>
      <vt:variant>
        <vt:i4>276</vt:i4>
      </vt:variant>
      <vt:variant>
        <vt:i4>0</vt:i4>
      </vt:variant>
      <vt:variant>
        <vt:i4>5</vt:i4>
      </vt:variant>
      <vt:variant>
        <vt:lpwstr>http://ec.europa.eu/health/ph_projects/2000/promotion/fp_promotion_2000_frep_08_en.pdf</vt:lpwstr>
      </vt:variant>
      <vt:variant>
        <vt:lpwstr/>
      </vt:variant>
      <vt:variant>
        <vt:i4>983122</vt:i4>
      </vt:variant>
      <vt:variant>
        <vt:i4>273</vt:i4>
      </vt:variant>
      <vt:variant>
        <vt:i4>0</vt:i4>
      </vt:variant>
      <vt:variant>
        <vt:i4>5</vt:i4>
      </vt:variant>
      <vt:variant>
        <vt:lpwstr>https://www.caritas.eu/wordpress/wp-content/uploads/2018/11/20171109-PU-Caritas-cares-youth-poverty-country-report-luxembourg.pdf</vt:lpwstr>
      </vt:variant>
      <vt:variant>
        <vt:lpwstr/>
      </vt:variant>
      <vt:variant>
        <vt:i4>983122</vt:i4>
      </vt:variant>
      <vt:variant>
        <vt:i4>270</vt:i4>
      </vt:variant>
      <vt:variant>
        <vt:i4>0</vt:i4>
      </vt:variant>
      <vt:variant>
        <vt:i4>5</vt:i4>
      </vt:variant>
      <vt:variant>
        <vt:lpwstr>https://www.caritas.eu/wordpress/wp-content/uploads/2018/11/20171109-PU-Caritas-cares-youth-poverty-country-report-luxembourg.pdf</vt:lpwstr>
      </vt:variant>
      <vt:variant>
        <vt:lpwstr/>
      </vt:variant>
      <vt:variant>
        <vt:i4>720958</vt:i4>
      </vt:variant>
      <vt:variant>
        <vt:i4>267</vt:i4>
      </vt:variant>
      <vt:variant>
        <vt:i4>0</vt:i4>
      </vt:variant>
      <vt:variant>
        <vt:i4>5</vt:i4>
      </vt:variant>
      <vt:variant>
        <vt:lpwstr>https://tbinternet.ohchr.org/_layouts/treatybodyexternal/Download.aspx?symbolno=INT%2fCRPD%2fCSS%2fLUX%2f26160&amp;Lang=en</vt:lpwstr>
      </vt:variant>
      <vt:variant>
        <vt:lpwstr/>
      </vt:variant>
      <vt:variant>
        <vt:i4>5832708</vt:i4>
      </vt:variant>
      <vt:variant>
        <vt:i4>264</vt:i4>
      </vt:variant>
      <vt:variant>
        <vt:i4>0</vt:i4>
      </vt:variant>
      <vt:variant>
        <vt:i4>5</vt:i4>
      </vt:variant>
      <vt:variant>
        <vt:lpwstr>http://www.trisomie21.lu/</vt:lpwstr>
      </vt:variant>
      <vt:variant>
        <vt:lpwstr/>
      </vt:variant>
      <vt:variant>
        <vt:i4>4325441</vt:i4>
      </vt:variant>
      <vt:variant>
        <vt:i4>261</vt:i4>
      </vt:variant>
      <vt:variant>
        <vt:i4>0</vt:i4>
      </vt:variant>
      <vt:variant>
        <vt:i4>5</vt:i4>
      </vt:variant>
      <vt:variant>
        <vt:lpwstr>https://ccdh.public.lu/dam-assets/fr/publications/Droits-des-personnes-handicapees/Empowerment-3-Brochure.pdf</vt:lpwstr>
      </vt:variant>
      <vt:variant>
        <vt:lpwstr/>
      </vt:variant>
      <vt:variant>
        <vt:i4>6225948</vt:i4>
      </vt:variant>
      <vt:variant>
        <vt:i4>258</vt:i4>
      </vt:variant>
      <vt:variant>
        <vt:i4>0</vt:i4>
      </vt:variant>
      <vt:variant>
        <vt:i4>5</vt:i4>
      </vt:variant>
      <vt:variant>
        <vt:lpwstr>https://ccdh.public.lu/dam-assets/fr/avis/2018/6-institutionenlandschaft-menschen-mit-behinderung.pdf</vt:lpwstr>
      </vt:variant>
      <vt:variant>
        <vt:lpwstr/>
      </vt:variant>
      <vt:variant>
        <vt:i4>7536752</vt:i4>
      </vt:variant>
      <vt:variant>
        <vt:i4>255</vt:i4>
      </vt:variant>
      <vt:variant>
        <vt:i4>0</vt:i4>
      </vt:variant>
      <vt:variant>
        <vt:i4>5</vt:i4>
      </vt:variant>
      <vt:variant>
        <vt:lpwstr>https://ccdh.public.lu/fr/avis.html</vt:lpwstr>
      </vt:variant>
      <vt:variant>
        <vt:lpwstr/>
      </vt:variant>
      <vt:variant>
        <vt:i4>917574</vt:i4>
      </vt:variant>
      <vt:variant>
        <vt:i4>252</vt:i4>
      </vt:variant>
      <vt:variant>
        <vt:i4>0</vt:i4>
      </vt:variant>
      <vt:variant>
        <vt:i4>5</vt:i4>
      </vt:variant>
      <vt:variant>
        <vt:lpwstr>http://legilux.public.lu/eli/etat/leg/loi/2017/08/29/a778/jo</vt:lpwstr>
      </vt:variant>
      <vt:variant>
        <vt:lpwstr/>
      </vt:variant>
      <vt:variant>
        <vt:i4>1900545</vt:i4>
      </vt:variant>
      <vt:variant>
        <vt:i4>249</vt:i4>
      </vt:variant>
      <vt:variant>
        <vt:i4>0</vt:i4>
      </vt:variant>
      <vt:variant>
        <vt:i4>5</vt:i4>
      </vt:variant>
      <vt:variant>
        <vt:lpwstr>http://docstore.ohchr.org/SelfServices/FilesHandler.ashx?enc=6QkG1d%2FPPRiCAqhKb7yhsvP%2BdTiDrgtVuqxAW%2B69tiKIXBXKWmNQXT%2Fmo%2FEyFUOnby%2FrpQIV67BUhoNbCdpCAc7SlOMvANsJafd2PwWE94Ei7KuLj0qhi2PXCwnuevVb</vt:lpwstr>
      </vt:variant>
      <vt:variant>
        <vt:lpwstr/>
      </vt:variant>
      <vt:variant>
        <vt:i4>5636124</vt:i4>
      </vt:variant>
      <vt:variant>
        <vt:i4>246</vt:i4>
      </vt:variant>
      <vt:variant>
        <vt:i4>0</vt:i4>
      </vt:variant>
      <vt:variant>
        <vt:i4>5</vt:i4>
      </vt:variant>
      <vt:variant>
        <vt:lpwstr>http://www.liewen-dobaussen.lu/de/links.html</vt:lpwstr>
      </vt:variant>
      <vt:variant>
        <vt:lpwstr/>
      </vt:variant>
      <vt:variant>
        <vt:i4>5701639</vt:i4>
      </vt:variant>
      <vt:variant>
        <vt:i4>243</vt:i4>
      </vt:variant>
      <vt:variant>
        <vt:i4>0</vt:i4>
      </vt:variant>
      <vt:variant>
        <vt:i4>5</vt:i4>
      </vt:variant>
      <vt:variant>
        <vt:lpwstr>https://documents-dds-ny.un.org/doc/UNDOC/GEN/G15/201/47/PDF/G1520147.pdf?OpenElement</vt:lpwstr>
      </vt:variant>
      <vt:variant>
        <vt:lpwstr/>
      </vt:variant>
      <vt:variant>
        <vt:i4>5701730</vt:i4>
      </vt:variant>
      <vt:variant>
        <vt:i4>240</vt:i4>
      </vt:variant>
      <vt:variant>
        <vt:i4>0</vt:i4>
      </vt:variant>
      <vt:variant>
        <vt:i4>5</vt:i4>
      </vt:variant>
      <vt:variant>
        <vt:lpwstr>https://tbinternet.ohchr.org/_layouts/treatybodyexternal/Download.aspx?symbolno=CRPD%2FC%2FLUX%2F1&amp;Lang=en</vt:lpwstr>
      </vt:variant>
      <vt:variant>
        <vt:lpwstr/>
      </vt:variant>
      <vt:variant>
        <vt:i4>5111879</vt:i4>
      </vt:variant>
      <vt:variant>
        <vt:i4>237</vt:i4>
      </vt:variant>
      <vt:variant>
        <vt:i4>0</vt:i4>
      </vt:variant>
      <vt:variant>
        <vt:i4>5</vt:i4>
      </vt:variant>
      <vt:variant>
        <vt:lpwstr>https://gouvernement.lu/dam-assets/fr/actualites/articles/2013/09-septembre/26-reforme-psychiatrie/Communiqu___de_presse_-_R__forme_de_la_psychiatrie_et_politique_de_sant___mentale.pdf</vt:lpwstr>
      </vt:variant>
      <vt:variant>
        <vt:lpwstr/>
      </vt:variant>
      <vt:variant>
        <vt:i4>4587611</vt:i4>
      </vt:variant>
      <vt:variant>
        <vt:i4>234</vt:i4>
      </vt:variant>
      <vt:variant>
        <vt:i4>0</vt:i4>
      </vt:variant>
      <vt:variant>
        <vt:i4>5</vt:i4>
      </vt:variant>
      <vt:variant>
        <vt:lpwstr>https://gouvernement.lu/dam-assets/fr/actualites/articles/2009/04-avril/20-bartolomeo-psychiatrie/Lux-PC.pdf</vt:lpwstr>
      </vt:variant>
      <vt:variant>
        <vt:lpwstr/>
      </vt:variant>
      <vt:variant>
        <vt:i4>131166</vt:i4>
      </vt:variant>
      <vt:variant>
        <vt:i4>231</vt:i4>
      </vt:variant>
      <vt:variant>
        <vt:i4>0</vt:i4>
      </vt:variant>
      <vt:variant>
        <vt:i4>5</vt:i4>
      </vt:variant>
      <vt:variant>
        <vt:lpwstr>http://www.fedas.lu/wp-content/uploads/2016/10/AGREMENT-services-pour-personnes-en-situation-de-handicap.pdf</vt:lpwstr>
      </vt:variant>
      <vt:variant>
        <vt:lpwstr/>
      </vt:variant>
      <vt:variant>
        <vt:i4>4456513</vt:i4>
      </vt:variant>
      <vt:variant>
        <vt:i4>228</vt:i4>
      </vt:variant>
      <vt:variant>
        <vt:i4>0</vt:i4>
      </vt:variant>
      <vt:variant>
        <vt:i4>5</vt:i4>
      </vt:variant>
      <vt:variant>
        <vt:lpwstr>http://www.fonds-europeens.public.lu/fr/projets-cofinances/fse/2014-2020/1042/index.html</vt:lpwstr>
      </vt:variant>
      <vt:variant>
        <vt:lpwstr/>
      </vt:variant>
      <vt:variant>
        <vt:i4>4456513</vt:i4>
      </vt:variant>
      <vt:variant>
        <vt:i4>225</vt:i4>
      </vt:variant>
      <vt:variant>
        <vt:i4>0</vt:i4>
      </vt:variant>
      <vt:variant>
        <vt:i4>5</vt:i4>
      </vt:variant>
      <vt:variant>
        <vt:lpwstr>http://www.fonds-europeens.public.lu/fr/projets-cofinances/fse/2014-2020/1042/index.html</vt:lpwstr>
      </vt:variant>
      <vt:variant>
        <vt:lpwstr/>
      </vt:variant>
      <vt:variant>
        <vt:i4>1704050</vt:i4>
      </vt:variant>
      <vt:variant>
        <vt:i4>222</vt:i4>
      </vt:variant>
      <vt:variant>
        <vt:i4>0</vt:i4>
      </vt:variant>
      <vt:variant>
        <vt:i4>5</vt:i4>
      </vt:variant>
      <vt:variant>
        <vt:lpwstr>http://www.fonds-europeens.public.lu/fr/projets-cofinances/index.php?~=do&amp;from=search&amp;r%5B0%5D=f%2Fcategory%2Ffse&amp;r%5B1%5D=f%2Ftype%2Finclusion+sociale+et+pauvrete&amp;res_length=10&amp;q=%23all&amp;s=score&amp;b=10</vt:lpwstr>
      </vt:variant>
      <vt:variant>
        <vt:lpwstr>main</vt:lpwstr>
      </vt:variant>
      <vt:variant>
        <vt:i4>2097247</vt:i4>
      </vt:variant>
      <vt:variant>
        <vt:i4>219</vt:i4>
      </vt:variant>
      <vt:variant>
        <vt:i4>0</vt:i4>
      </vt:variant>
      <vt:variant>
        <vt:i4>5</vt:i4>
      </vt:variant>
      <vt:variant>
        <vt:lpwstr>https://ec.europa.eu/eip/ageing/actiongroup/index/b3_en</vt:lpwstr>
      </vt:variant>
      <vt:variant>
        <vt:lpwstr/>
      </vt:variant>
      <vt:variant>
        <vt:i4>2162782</vt:i4>
      </vt:variant>
      <vt:variant>
        <vt:i4>216</vt:i4>
      </vt:variant>
      <vt:variant>
        <vt:i4>0</vt:i4>
      </vt:variant>
      <vt:variant>
        <vt:i4>5</vt:i4>
      </vt:variant>
      <vt:variant>
        <vt:lpwstr>https://ec.europa.eu/eip/ageing/actiongroup/index/c2_en</vt:lpwstr>
      </vt:variant>
      <vt:variant>
        <vt:lpwstr/>
      </vt:variant>
      <vt:variant>
        <vt:i4>7864441</vt:i4>
      </vt:variant>
      <vt:variant>
        <vt:i4>213</vt:i4>
      </vt:variant>
      <vt:variant>
        <vt:i4>0</vt:i4>
      </vt:variant>
      <vt:variant>
        <vt:i4>5</vt:i4>
      </vt:variant>
      <vt:variant>
        <vt:lpwstr>http://www.info-handicap.lu/index.php/de-DE/dokumente/test/537-top-thema-logement/file</vt:lpwstr>
      </vt:variant>
      <vt:variant>
        <vt:lpwstr/>
      </vt:variant>
      <vt:variant>
        <vt:i4>983124</vt:i4>
      </vt:variant>
      <vt:variant>
        <vt:i4>210</vt:i4>
      </vt:variant>
      <vt:variant>
        <vt:i4>0</vt:i4>
      </vt:variant>
      <vt:variant>
        <vt:i4>5</vt:i4>
      </vt:variant>
      <vt:variant>
        <vt:lpwstr>http://www.youtube.com/watch?v=6S8n8vQQgkk&amp;feature=share</vt:lpwstr>
      </vt:variant>
      <vt:variant>
        <vt:lpwstr/>
      </vt:variant>
      <vt:variant>
        <vt:i4>6094872</vt:i4>
      </vt:variant>
      <vt:variant>
        <vt:i4>207</vt:i4>
      </vt:variant>
      <vt:variant>
        <vt:i4>0</vt:i4>
      </vt:variant>
      <vt:variant>
        <vt:i4>5</vt:i4>
      </vt:variant>
      <vt:variant>
        <vt:lpwstr>https://www.secu.lu/assurance-dependance/</vt:lpwstr>
      </vt:variant>
      <vt:variant>
        <vt:lpwstr/>
      </vt:variant>
      <vt:variant>
        <vt:i4>4259932</vt:i4>
      </vt:variant>
      <vt:variant>
        <vt:i4>204</vt:i4>
      </vt:variant>
      <vt:variant>
        <vt:i4>0</vt:i4>
      </vt:variant>
      <vt:variant>
        <vt:i4>5</vt:i4>
      </vt:variant>
      <vt:variant>
        <vt:lpwstr>http://www.adapth.lu/j3/</vt:lpwstr>
      </vt:variant>
      <vt:variant>
        <vt:lpwstr/>
      </vt:variant>
      <vt:variant>
        <vt:i4>10944701</vt:i4>
      </vt:variant>
      <vt:variant>
        <vt:i4>201</vt:i4>
      </vt:variant>
      <vt:variant>
        <vt:i4>0</vt:i4>
      </vt:variant>
      <vt:variant>
        <vt:i4>5</vt:i4>
      </vt:variant>
      <vt:variant>
        <vt:lpwstr>https://mfamigr.gouvernement.lu/dam-assets/le-ministère/attributions/personnes-handicapées/plan-d-action-du-gouvernement-luxembourgeois-en-faveur-des-personnes-handicapees.pdf</vt:lpwstr>
      </vt:variant>
      <vt:variant>
        <vt:lpwstr/>
      </vt:variant>
      <vt:variant>
        <vt:i4>65647</vt:i4>
      </vt:variant>
      <vt:variant>
        <vt:i4>198</vt:i4>
      </vt:variant>
      <vt:variant>
        <vt:i4>0</vt:i4>
      </vt:variant>
      <vt:variant>
        <vt:i4>5</vt:i4>
      </vt:variant>
      <vt:variant>
        <vt:lpwstr>https://www.chd.lu/wps/PA_RoleDesAffaires/FTSByteServingServletImpl?path=A2A75CF85C09915B9999B68B3E9441BADA922DC0FB061F241D67517B95AF096FB02DF2939A997DA367C102671C2ADA80$DD2EF981C2F13DF214417E56D84FCCF6</vt:lpwstr>
      </vt:variant>
      <vt:variant>
        <vt:lpwstr/>
      </vt:variant>
      <vt:variant>
        <vt:i4>5439609</vt:i4>
      </vt:variant>
      <vt:variant>
        <vt:i4>195</vt:i4>
      </vt:variant>
      <vt:variant>
        <vt:i4>0</vt:i4>
      </vt:variant>
      <vt:variant>
        <vt:i4>5</vt:i4>
      </vt:variant>
      <vt:variant>
        <vt:lpwstr>https://ec.europa.eu/info/publications/partnership-agreement-luxembourg-2014-20_en</vt:lpwstr>
      </vt:variant>
      <vt:variant>
        <vt:lpwstr/>
      </vt:variant>
      <vt:variant>
        <vt:i4>720992</vt:i4>
      </vt:variant>
      <vt:variant>
        <vt:i4>192</vt:i4>
      </vt:variant>
      <vt:variant>
        <vt:i4>0</vt:i4>
      </vt:variant>
      <vt:variant>
        <vt:i4>5</vt:i4>
      </vt:variant>
      <vt:variant>
        <vt:lpwstr>https://ec.europa.eu/regional_policy/en/information/publications/factsheets/2016/european-structural-and-investment-funds-country-factsheet-luxembourg</vt:lpwstr>
      </vt:variant>
      <vt:variant>
        <vt:lpwstr/>
      </vt:variant>
      <vt:variant>
        <vt:i4>10944701</vt:i4>
      </vt:variant>
      <vt:variant>
        <vt:i4>189</vt:i4>
      </vt:variant>
      <vt:variant>
        <vt:i4>0</vt:i4>
      </vt:variant>
      <vt:variant>
        <vt:i4>5</vt:i4>
      </vt:variant>
      <vt:variant>
        <vt:lpwstr>https://mfamigr.gouvernement.lu/dam-assets/le-ministère/attributions/personnes-handicapées/plan-d-action-du-gouvernement-luxembourgeois-en-faveur-des-personnes-handicapees.pdf</vt:lpwstr>
      </vt:variant>
      <vt:variant>
        <vt:lpwstr/>
      </vt:variant>
      <vt:variant>
        <vt:i4>3539040</vt:i4>
      </vt:variant>
      <vt:variant>
        <vt:i4>186</vt:i4>
      </vt:variant>
      <vt:variant>
        <vt:i4>0</vt:i4>
      </vt:variant>
      <vt:variant>
        <vt:i4>5</vt:i4>
      </vt:variant>
      <vt:variant>
        <vt:lpwstr>https://gouvernement.lu/de/publications/accord-coalition/2018-2023.html</vt:lpwstr>
      </vt:variant>
      <vt:variant>
        <vt:lpwstr/>
      </vt:variant>
      <vt:variant>
        <vt:i4>720988</vt:i4>
      </vt:variant>
      <vt:variant>
        <vt:i4>183</vt:i4>
      </vt:variant>
      <vt:variant>
        <vt:i4>0</vt:i4>
      </vt:variant>
      <vt:variant>
        <vt:i4>5</vt:i4>
      </vt:variant>
      <vt:variant>
        <vt:lpwstr>https://fra.europa.eu/en/publication/2017/independent-living-funding</vt:lpwstr>
      </vt:variant>
      <vt:variant>
        <vt:lpwstr/>
      </vt:variant>
      <vt:variant>
        <vt:i4>8323108</vt:i4>
      </vt:variant>
      <vt:variant>
        <vt:i4>180</vt:i4>
      </vt:variant>
      <vt:variant>
        <vt:i4>0</vt:i4>
      </vt:variant>
      <vt:variant>
        <vt:i4>5</vt:i4>
      </vt:variant>
      <vt:variant>
        <vt:lpwstr>https://fra.europa.eu/en/publication/2017/independent-living-structures</vt:lpwstr>
      </vt:variant>
      <vt:variant>
        <vt:lpwstr/>
      </vt:variant>
      <vt:variant>
        <vt:i4>3211390</vt:i4>
      </vt:variant>
      <vt:variant>
        <vt:i4>177</vt:i4>
      </vt:variant>
      <vt:variant>
        <vt:i4>0</vt:i4>
      </vt:variant>
      <vt:variant>
        <vt:i4>5</vt:i4>
      </vt:variant>
      <vt:variant>
        <vt:lpwstr>http://www.copas.lu/wp-content/uploads/reforme-psychiatrie-politique-sante-mentale-2013.pdf</vt:lpwstr>
      </vt:variant>
      <vt:variant>
        <vt:lpwstr/>
      </vt:variant>
      <vt:variant>
        <vt:i4>32768164</vt:i4>
      </vt:variant>
      <vt:variant>
        <vt:i4>174</vt:i4>
      </vt:variant>
      <vt:variant>
        <vt:i4>0</vt:i4>
      </vt:variant>
      <vt:variant>
        <vt:i4>5</vt:i4>
      </vt:variant>
      <vt:variant>
        <vt:lpwstr>https://mfamigr.gouvernement.lu/content/dam/gouv_mfamigr/le-ministère/attributions/personnes-handicapées/premier-rapport-periodique-de-mise-en-œuvre-de-la-convention-onu.pdf</vt:lpwstr>
      </vt:variant>
      <vt:variant>
        <vt:lpwstr/>
      </vt:variant>
      <vt:variant>
        <vt:i4>7798887</vt:i4>
      </vt:variant>
      <vt:variant>
        <vt:i4>171</vt:i4>
      </vt:variant>
      <vt:variant>
        <vt:i4>0</vt:i4>
      </vt:variant>
      <vt:variant>
        <vt:i4>5</vt:i4>
      </vt:variant>
      <vt:variant>
        <vt:lpwstr>http://www.nemmemateis.lu/online/www/content/32/542/DEU/index.html</vt:lpwstr>
      </vt:variant>
      <vt:variant>
        <vt:lpwstr/>
      </vt:variant>
      <vt:variant>
        <vt:i4>4259882</vt:i4>
      </vt:variant>
      <vt:variant>
        <vt:i4>168</vt:i4>
      </vt:variant>
      <vt:variant>
        <vt:i4>0</vt:i4>
      </vt:variant>
      <vt:variant>
        <vt:i4>5</vt:i4>
      </vt:variant>
      <vt:variant>
        <vt:lpwstr>https://mfamigr.gouvernement.lu/fr/actualites.gouvernement%2Bfr%2Bactualites%2Btoutes_actualites%2Bcommuniques%2B2018%2B07-juillet%2B03-reunion-personnes-handicapees.html</vt:lpwstr>
      </vt:variant>
      <vt:variant>
        <vt:lpwstr/>
      </vt:variant>
      <vt:variant>
        <vt:i4>3211390</vt:i4>
      </vt:variant>
      <vt:variant>
        <vt:i4>165</vt:i4>
      </vt:variant>
      <vt:variant>
        <vt:i4>0</vt:i4>
      </vt:variant>
      <vt:variant>
        <vt:i4>5</vt:i4>
      </vt:variant>
      <vt:variant>
        <vt:lpwstr>http://www.copas.lu/wp-content/uploads/reforme-psychiatrie-politique-sante-mentale-2013.pdf</vt:lpwstr>
      </vt:variant>
      <vt:variant>
        <vt:lpwstr/>
      </vt:variant>
      <vt:variant>
        <vt:i4>3080290</vt:i4>
      </vt:variant>
      <vt:variant>
        <vt:i4>162</vt:i4>
      </vt:variant>
      <vt:variant>
        <vt:i4>0</vt:i4>
      </vt:variant>
      <vt:variant>
        <vt:i4>5</vt:i4>
      </vt:variant>
      <vt:variant>
        <vt:lpwstr>https://logement.public.lu/dam-assets/documents/publications/aides-logement/amenagement-speciaux/amenagements-sp-DE.pdf</vt:lpwstr>
      </vt:variant>
      <vt:variant>
        <vt:lpwstr/>
      </vt:variant>
      <vt:variant>
        <vt:i4>1179763</vt:i4>
      </vt:variant>
      <vt:variant>
        <vt:i4>159</vt:i4>
      </vt:variant>
      <vt:variant>
        <vt:i4>0</vt:i4>
      </vt:variant>
      <vt:variant>
        <vt:i4>5</vt:i4>
      </vt:variant>
      <vt:variant>
        <vt:lpwstr>https://www.disability-europe.net/dotcom?l%5B%5D=23&amp;t%5B%5D=23&amp;t%5B%5D=24&amp;t%5B%5D=25&amp;t%5B%5D=26&amp;t%5B%5D=27&amp;t%5B%5D=28&amp;t%5B%5D=29&amp;t%5B%5D=30&amp;view_type=matrix</vt:lpwstr>
      </vt:variant>
      <vt:variant>
        <vt:lpwstr/>
      </vt:variant>
      <vt:variant>
        <vt:i4>3997765</vt:i4>
      </vt:variant>
      <vt:variant>
        <vt:i4>156</vt:i4>
      </vt:variant>
      <vt:variant>
        <vt:i4>0</vt:i4>
      </vt:variant>
      <vt:variant>
        <vt:i4>5</vt:i4>
      </vt:variant>
      <vt:variant>
        <vt:lpwstr>https://www.fns.lu/fileadmin/file/fns/legislation/RPGH/RPGH_LOI.pdf</vt:lpwstr>
      </vt:variant>
      <vt:variant>
        <vt:lpwstr>pageMode=bookmarks</vt:lpwstr>
      </vt:variant>
      <vt:variant>
        <vt:i4>5832767</vt:i4>
      </vt:variant>
      <vt:variant>
        <vt:i4>153</vt:i4>
      </vt:variant>
      <vt:variant>
        <vt:i4>0</vt:i4>
      </vt:variant>
      <vt:variant>
        <vt:i4>5</vt:i4>
      </vt:variant>
      <vt:variant>
        <vt:lpwstr>https://chd.lu/wps/PA_RoleDesAffaires/FTSByteServingServletImpl?path=C494183FC4B3B0B336289854BC485032D127AEE1A536C19A87CFB52B635B24060FACFF3028C5AB038F480B470730E697$C438EB2AB11CDE7D4AE6DF1EA2866DDD</vt:lpwstr>
      </vt:variant>
      <vt:variant>
        <vt:lpwstr/>
      </vt:variant>
      <vt:variant>
        <vt:i4>6094872</vt:i4>
      </vt:variant>
      <vt:variant>
        <vt:i4>150</vt:i4>
      </vt:variant>
      <vt:variant>
        <vt:i4>0</vt:i4>
      </vt:variant>
      <vt:variant>
        <vt:i4>5</vt:i4>
      </vt:variant>
      <vt:variant>
        <vt:lpwstr>https://www.secu.lu/assurance-dependance/</vt:lpwstr>
      </vt:variant>
      <vt:variant>
        <vt:lpwstr/>
      </vt:variant>
      <vt:variant>
        <vt:i4>3997747</vt:i4>
      </vt:variant>
      <vt:variant>
        <vt:i4>147</vt:i4>
      </vt:variant>
      <vt:variant>
        <vt:i4>0</vt:i4>
      </vt:variant>
      <vt:variant>
        <vt:i4>5</vt:i4>
      </vt:variant>
      <vt:variant>
        <vt:lpwstr>http://www.info-handicap.lu/index2.php?option=com_docman&amp;task=doc_view&amp;gid=36&amp;Itemid=26</vt:lpwstr>
      </vt:variant>
      <vt:variant>
        <vt:lpwstr/>
      </vt:variant>
      <vt:variant>
        <vt:i4>3932263</vt:i4>
      </vt:variant>
      <vt:variant>
        <vt:i4>144</vt:i4>
      </vt:variant>
      <vt:variant>
        <vt:i4>0</vt:i4>
      </vt:variant>
      <vt:variant>
        <vt:i4>5</vt:i4>
      </vt:variant>
      <vt:variant>
        <vt:lpwstr>http://fra.europa.eu/en/publication/2017/independent-living-structures</vt:lpwstr>
      </vt:variant>
      <vt:variant>
        <vt:lpwstr/>
      </vt:variant>
      <vt:variant>
        <vt:i4>1507415</vt:i4>
      </vt:variant>
      <vt:variant>
        <vt:i4>141</vt:i4>
      </vt:variant>
      <vt:variant>
        <vt:i4>0</vt:i4>
      </vt:variant>
      <vt:variant>
        <vt:i4>5</vt:i4>
      </vt:variant>
      <vt:variant>
        <vt:lpwstr>https://eustructuralfundswatchdotcom.files.wordpress.com/2017/11/cle-sfw_opening-up-communities-november-2017_final.pdf</vt:lpwstr>
      </vt:variant>
      <vt:variant>
        <vt:lpwstr/>
      </vt:variant>
      <vt:variant>
        <vt:i4>6291583</vt:i4>
      </vt:variant>
      <vt:variant>
        <vt:i4>138</vt:i4>
      </vt:variant>
      <vt:variant>
        <vt:i4>0</vt:i4>
      </vt:variant>
      <vt:variant>
        <vt:i4>5</vt:i4>
      </vt:variant>
      <vt:variant>
        <vt:lpwstr>https://communitylivingforeurope.org/country-specifics/</vt:lpwstr>
      </vt:variant>
      <vt:variant>
        <vt:lpwstr/>
      </vt:variant>
      <vt:variant>
        <vt:i4>5832770</vt:i4>
      </vt:variant>
      <vt:variant>
        <vt:i4>135</vt:i4>
      </vt:variant>
      <vt:variant>
        <vt:i4>0</vt:i4>
      </vt:variant>
      <vt:variant>
        <vt:i4>5</vt:i4>
      </vt:variant>
      <vt:variant>
        <vt:lpwstr>https://www.disability-europe.net/index.php</vt:lpwstr>
      </vt:variant>
      <vt:variant>
        <vt:lpwstr>https://www.disability-europe.net/dotcom?l%5B%5D=6&amp;l%5B%5D=7&amp;l%5B%5D=8&amp;l%5B%5D=9&amp;l%5B%5D=10&amp;l%5B%5D=11&amp;l%5B%5D=12&amp;l%5B%5D=13&amp;l%5B%5D=14&amp;l%5B%5D=15&amp;l%5B%5D=16&amp;l%5B%5D=17&amp;l%5B%5D=18&amp;l%5B%5D=19&amp;l%5B%5D=20&amp;</vt:lpwstr>
      </vt:variant>
      <vt:variant>
        <vt:i4>3080306</vt:i4>
      </vt:variant>
      <vt:variant>
        <vt:i4>132</vt:i4>
      </vt:variant>
      <vt:variant>
        <vt:i4>0</vt:i4>
      </vt:variant>
      <vt:variant>
        <vt:i4>5</vt:i4>
      </vt:variant>
      <vt:variant>
        <vt:lpwstr>http://www.men.public.lu/fr/actualites/articles/communiques-conference-presse/2018/06/26-centres-competences/index.html</vt:lpwstr>
      </vt:variant>
      <vt:variant>
        <vt:lpwstr/>
      </vt:variant>
      <vt:variant>
        <vt:i4>3997747</vt:i4>
      </vt:variant>
      <vt:variant>
        <vt:i4>129</vt:i4>
      </vt:variant>
      <vt:variant>
        <vt:i4>0</vt:i4>
      </vt:variant>
      <vt:variant>
        <vt:i4>5</vt:i4>
      </vt:variant>
      <vt:variant>
        <vt:lpwstr>http://www.info-handicap.lu/index2.php?option=com_docman&amp;task=doc_view&amp;gid=36&amp;Itemid=26</vt:lpwstr>
      </vt:variant>
      <vt:variant>
        <vt:lpwstr/>
      </vt:variant>
      <vt:variant>
        <vt:i4>589912</vt:i4>
      </vt:variant>
      <vt:variant>
        <vt:i4>126</vt:i4>
      </vt:variant>
      <vt:variant>
        <vt:i4>0</vt:i4>
      </vt:variant>
      <vt:variant>
        <vt:i4>5</vt:i4>
      </vt:variant>
      <vt:variant>
        <vt:lpwstr>http://www.mss.public.lu/publications/rapport_general/rg2017/rg_2017.pdf</vt:lpwstr>
      </vt:variant>
      <vt:variant>
        <vt:lpwstr/>
      </vt:variant>
      <vt:variant>
        <vt:i4>589912</vt:i4>
      </vt:variant>
      <vt:variant>
        <vt:i4>123</vt:i4>
      </vt:variant>
      <vt:variant>
        <vt:i4>0</vt:i4>
      </vt:variant>
      <vt:variant>
        <vt:i4>5</vt:i4>
      </vt:variant>
      <vt:variant>
        <vt:lpwstr>http://www.mss.public.lu/publications/rapport_general/rg2017/rg_2017.pdf</vt:lpwstr>
      </vt:variant>
      <vt:variant>
        <vt:lpwstr/>
      </vt:variant>
      <vt:variant>
        <vt:i4>6815832</vt:i4>
      </vt:variant>
      <vt:variant>
        <vt:i4>120</vt:i4>
      </vt:variant>
      <vt:variant>
        <vt:i4>0</vt:i4>
      </vt:variant>
      <vt:variant>
        <vt:i4>5</vt:i4>
      </vt:variant>
      <vt:variant>
        <vt:lpwstr>http://www.mss.public.lu/publications/rapport_general/index.html</vt:lpwstr>
      </vt:variant>
      <vt:variant>
        <vt:lpwstr/>
      </vt:variant>
      <vt:variant>
        <vt:i4>5177435</vt:i4>
      </vt:variant>
      <vt:variant>
        <vt:i4>117</vt:i4>
      </vt:variant>
      <vt:variant>
        <vt:i4>0</vt:i4>
      </vt:variant>
      <vt:variant>
        <vt:i4>5</vt:i4>
      </vt:variant>
      <vt:variant>
        <vt:lpwstr>https://gouvernement.lu/dam-assets/fr/publications/rapport-activite/minist-famille-integration-grande-region/2017-rapport-activite-famille/2017-rapport-activite-famille.pdf</vt:lpwstr>
      </vt:variant>
      <vt:variant>
        <vt:lpwstr/>
      </vt:variant>
      <vt:variant>
        <vt:i4>589912</vt:i4>
      </vt:variant>
      <vt:variant>
        <vt:i4>114</vt:i4>
      </vt:variant>
      <vt:variant>
        <vt:i4>0</vt:i4>
      </vt:variant>
      <vt:variant>
        <vt:i4>5</vt:i4>
      </vt:variant>
      <vt:variant>
        <vt:lpwstr>http://www.mss.public.lu/publications/rapport_general/rg2017/rg_2017.pdf</vt:lpwstr>
      </vt:variant>
      <vt:variant>
        <vt:lpwstr/>
      </vt:variant>
      <vt:variant>
        <vt:i4>589912</vt:i4>
      </vt:variant>
      <vt:variant>
        <vt:i4>111</vt:i4>
      </vt:variant>
      <vt:variant>
        <vt:i4>0</vt:i4>
      </vt:variant>
      <vt:variant>
        <vt:i4>5</vt:i4>
      </vt:variant>
      <vt:variant>
        <vt:lpwstr>http://www.mss.public.lu/publications/rapport_general/rg2016/rg_2016.pdf</vt:lpwstr>
      </vt:variant>
      <vt:variant>
        <vt:lpwstr/>
      </vt:variant>
      <vt:variant>
        <vt:i4>4194412</vt:i4>
      </vt:variant>
      <vt:variant>
        <vt:i4>108</vt:i4>
      </vt:variant>
      <vt:variant>
        <vt:i4>0</vt:i4>
      </vt:variant>
      <vt:variant>
        <vt:i4>5</vt:i4>
      </vt:variant>
      <vt:variant>
        <vt:lpwstr>https://stats.oecd.org/Index.aspx?QueryId=30142&amp;_ga=2.7185588.722996396.1547661294-1828482028.1541880394</vt:lpwstr>
      </vt:variant>
      <vt:variant>
        <vt:lpwstr/>
      </vt:variant>
      <vt:variant>
        <vt:i4>4194412</vt:i4>
      </vt:variant>
      <vt:variant>
        <vt:i4>105</vt:i4>
      </vt:variant>
      <vt:variant>
        <vt:i4>0</vt:i4>
      </vt:variant>
      <vt:variant>
        <vt:i4>5</vt:i4>
      </vt:variant>
      <vt:variant>
        <vt:lpwstr>https://stats.oecd.org/Index.aspx?QueryId=30142&amp;_ga=2.7185588.722996396.1547661294-1828482028.1541880394</vt:lpwstr>
      </vt:variant>
      <vt:variant>
        <vt:lpwstr/>
      </vt:variant>
      <vt:variant>
        <vt:i4>4194412</vt:i4>
      </vt:variant>
      <vt:variant>
        <vt:i4>102</vt:i4>
      </vt:variant>
      <vt:variant>
        <vt:i4>0</vt:i4>
      </vt:variant>
      <vt:variant>
        <vt:i4>5</vt:i4>
      </vt:variant>
      <vt:variant>
        <vt:lpwstr>https://stats.oecd.org/Index.aspx?QueryId=30142&amp;_ga=2.7185588.722996396.1547661294-1828482028.1541880394</vt:lpwstr>
      </vt:variant>
      <vt:variant>
        <vt:lpwstr/>
      </vt:variant>
      <vt:variant>
        <vt:i4>5177435</vt:i4>
      </vt:variant>
      <vt:variant>
        <vt:i4>99</vt:i4>
      </vt:variant>
      <vt:variant>
        <vt:i4>0</vt:i4>
      </vt:variant>
      <vt:variant>
        <vt:i4>5</vt:i4>
      </vt:variant>
      <vt:variant>
        <vt:lpwstr>https://gouvernement.lu/dam-assets/fr/publications/rapport-activite/minist-famille-integration-grande-region/2017-rapport-activite-famille/2017-rapport-activite-famille.pdf</vt:lpwstr>
      </vt:variant>
      <vt:variant>
        <vt:lpwstr/>
      </vt:variant>
      <vt:variant>
        <vt:i4>589912</vt:i4>
      </vt:variant>
      <vt:variant>
        <vt:i4>96</vt:i4>
      </vt:variant>
      <vt:variant>
        <vt:i4>0</vt:i4>
      </vt:variant>
      <vt:variant>
        <vt:i4>5</vt:i4>
      </vt:variant>
      <vt:variant>
        <vt:lpwstr>http://www.mss.public.lu/publications/rapport_general/rg2017/rg_2017.pdf</vt:lpwstr>
      </vt:variant>
      <vt:variant>
        <vt:lpwstr/>
      </vt:variant>
      <vt:variant>
        <vt:i4>589912</vt:i4>
      </vt:variant>
      <vt:variant>
        <vt:i4>93</vt:i4>
      </vt:variant>
      <vt:variant>
        <vt:i4>0</vt:i4>
      </vt:variant>
      <vt:variant>
        <vt:i4>5</vt:i4>
      </vt:variant>
      <vt:variant>
        <vt:lpwstr>http://www.mss.public.lu/publications/rapport_general/rg2016/rg_2016.pdf</vt:lpwstr>
      </vt:variant>
      <vt:variant>
        <vt:lpwstr/>
      </vt:variant>
      <vt:variant>
        <vt:i4>589912</vt:i4>
      </vt:variant>
      <vt:variant>
        <vt:i4>90</vt:i4>
      </vt:variant>
      <vt:variant>
        <vt:i4>0</vt:i4>
      </vt:variant>
      <vt:variant>
        <vt:i4>5</vt:i4>
      </vt:variant>
      <vt:variant>
        <vt:lpwstr>http://www.mss.public.lu/publications/rapport_general/rg2017/rg_2017.pdf</vt:lpwstr>
      </vt:variant>
      <vt:variant>
        <vt:lpwstr/>
      </vt:variant>
      <vt:variant>
        <vt:i4>1966104</vt:i4>
      </vt:variant>
      <vt:variant>
        <vt:i4>87</vt:i4>
      </vt:variant>
      <vt:variant>
        <vt:i4>0</vt:i4>
      </vt:variant>
      <vt:variant>
        <vt:i4>5</vt:i4>
      </vt:variant>
      <vt:variant>
        <vt:lpwstr>https://communitylivingforeurope.org/</vt:lpwstr>
      </vt:variant>
      <vt:variant>
        <vt:lpwstr/>
      </vt:variant>
      <vt:variant>
        <vt:i4>720988</vt:i4>
      </vt:variant>
      <vt:variant>
        <vt:i4>84</vt:i4>
      </vt:variant>
      <vt:variant>
        <vt:i4>0</vt:i4>
      </vt:variant>
      <vt:variant>
        <vt:i4>5</vt:i4>
      </vt:variant>
      <vt:variant>
        <vt:lpwstr>https://fra.europa.eu/en/publication/2017/independent-living-funding</vt:lpwstr>
      </vt:variant>
      <vt:variant>
        <vt:lpwstr/>
      </vt:variant>
      <vt:variant>
        <vt:i4>8323108</vt:i4>
      </vt:variant>
      <vt:variant>
        <vt:i4>81</vt:i4>
      </vt:variant>
      <vt:variant>
        <vt:i4>0</vt:i4>
      </vt:variant>
      <vt:variant>
        <vt:i4>5</vt:i4>
      </vt:variant>
      <vt:variant>
        <vt:lpwstr>https://fra.europa.eu/en/publication/2017/independent-living-structures</vt:lpwstr>
      </vt:variant>
      <vt:variant>
        <vt:lpwstr/>
      </vt:variant>
      <vt:variant>
        <vt:i4>4194412</vt:i4>
      </vt:variant>
      <vt:variant>
        <vt:i4>78</vt:i4>
      </vt:variant>
      <vt:variant>
        <vt:i4>0</vt:i4>
      </vt:variant>
      <vt:variant>
        <vt:i4>5</vt:i4>
      </vt:variant>
      <vt:variant>
        <vt:lpwstr>https://stats.oecd.org/Index.aspx?QueryId=30142&amp;_ga=2.7185588.722996396.1547661294-1828482028.1541880394</vt:lpwstr>
      </vt:variant>
      <vt:variant>
        <vt:lpwstr/>
      </vt:variant>
      <vt:variant>
        <vt:i4>4194412</vt:i4>
      </vt:variant>
      <vt:variant>
        <vt:i4>75</vt:i4>
      </vt:variant>
      <vt:variant>
        <vt:i4>0</vt:i4>
      </vt:variant>
      <vt:variant>
        <vt:i4>5</vt:i4>
      </vt:variant>
      <vt:variant>
        <vt:lpwstr>https://stats.oecd.org/Index.aspx?QueryId=30142&amp;_ga=2.7185588.722996396.1547661294-1828482028.1541880394</vt:lpwstr>
      </vt:variant>
      <vt:variant>
        <vt:lpwstr/>
      </vt:variant>
      <vt:variant>
        <vt:i4>4194412</vt:i4>
      </vt:variant>
      <vt:variant>
        <vt:i4>72</vt:i4>
      </vt:variant>
      <vt:variant>
        <vt:i4>0</vt:i4>
      </vt:variant>
      <vt:variant>
        <vt:i4>5</vt:i4>
      </vt:variant>
      <vt:variant>
        <vt:lpwstr>https://stats.oecd.org/Index.aspx?QueryId=30142&amp;_ga=2.7185588.722996396.1547661294-1828482028.1541880394</vt:lpwstr>
      </vt:variant>
      <vt:variant>
        <vt:lpwstr/>
      </vt:variant>
      <vt:variant>
        <vt:i4>1572885</vt:i4>
      </vt:variant>
      <vt:variant>
        <vt:i4>69</vt:i4>
      </vt:variant>
      <vt:variant>
        <vt:i4>0</vt:i4>
      </vt:variant>
      <vt:variant>
        <vt:i4>5</vt:i4>
      </vt:variant>
      <vt:variant>
        <vt:lpwstr>http://www.legilux.public.lu/leg/textescoordonnes/recueils/Constitution/Constitution.pdf</vt:lpwstr>
      </vt:variant>
      <vt:variant>
        <vt:lpwstr/>
      </vt:variant>
      <vt:variant>
        <vt:i4>7733347</vt:i4>
      </vt:variant>
      <vt:variant>
        <vt:i4>66</vt:i4>
      </vt:variant>
      <vt:variant>
        <vt:i4>0</vt:i4>
      </vt:variant>
      <vt:variant>
        <vt:i4>5</vt:i4>
      </vt:variant>
      <vt:variant>
        <vt:lpwstr>http://www.fice-congress2013.ch/programm/abstracts/inklusion-im-nationalen-widerstreit-theoretischer-und-praxeologischer-konze/</vt:lpwstr>
      </vt:variant>
      <vt:variant>
        <vt:lpwstr/>
      </vt:variant>
      <vt:variant>
        <vt:i4>5701639</vt:i4>
      </vt:variant>
      <vt:variant>
        <vt:i4>63</vt:i4>
      </vt:variant>
      <vt:variant>
        <vt:i4>0</vt:i4>
      </vt:variant>
      <vt:variant>
        <vt:i4>5</vt:i4>
      </vt:variant>
      <vt:variant>
        <vt:lpwstr>https://documents-dds-ny.un.org/doc/UNDOC/GEN/G15/201/47/PDF/G1520147.pdf?OpenElement</vt:lpwstr>
      </vt:variant>
      <vt:variant>
        <vt:lpwstr/>
      </vt:variant>
      <vt:variant>
        <vt:i4>4259882</vt:i4>
      </vt:variant>
      <vt:variant>
        <vt:i4>60</vt:i4>
      </vt:variant>
      <vt:variant>
        <vt:i4>0</vt:i4>
      </vt:variant>
      <vt:variant>
        <vt:i4>5</vt:i4>
      </vt:variant>
      <vt:variant>
        <vt:lpwstr>https://mfamigr.gouvernement.lu/fr/actualites.gouvernement%2Bfr%2Bactualites%2Btoutes_actualites%2Bcommuniques%2B2018%2B07-juillet%2B03-reunion-personnes-handicapees.html</vt:lpwstr>
      </vt:variant>
      <vt:variant>
        <vt:lpwstr/>
      </vt:variant>
      <vt:variant>
        <vt:i4>4128777</vt:i4>
      </vt:variant>
      <vt:variant>
        <vt:i4>57</vt:i4>
      </vt:variant>
      <vt:variant>
        <vt:i4>0</vt:i4>
      </vt:variant>
      <vt:variant>
        <vt:i4>5</vt:i4>
      </vt:variant>
      <vt:variant>
        <vt:lpwstr>https://webcache.googleusercontent.com/search?q=cache:Hnp_yXmX-0IJ:https://tbinternet.ohchr.org/Treaties/CRPD/Shared%2520Documents/LUX/CRPD_C_LUX_CO_1_28811_E.docx+&amp;cd=1&amp;hl=de&amp;ct=clnk&amp;gl=de&amp;client=safari</vt:lpwstr>
      </vt:variant>
      <vt:variant>
        <vt:lpwstr/>
      </vt:variant>
      <vt:variant>
        <vt:i4>720958</vt:i4>
      </vt:variant>
      <vt:variant>
        <vt:i4>54</vt:i4>
      </vt:variant>
      <vt:variant>
        <vt:i4>0</vt:i4>
      </vt:variant>
      <vt:variant>
        <vt:i4>5</vt:i4>
      </vt:variant>
      <vt:variant>
        <vt:lpwstr>https://tbinternet.ohchr.org/_layouts/treatybodyexternal/Download.aspx?symbolno=INT%2fCRPD%2fCSS%2fLUX%2f26160&amp;Lang=en</vt:lpwstr>
      </vt:variant>
      <vt:variant>
        <vt:lpwstr/>
      </vt:variant>
      <vt:variant>
        <vt:i4>4128777</vt:i4>
      </vt:variant>
      <vt:variant>
        <vt:i4>51</vt:i4>
      </vt:variant>
      <vt:variant>
        <vt:i4>0</vt:i4>
      </vt:variant>
      <vt:variant>
        <vt:i4>5</vt:i4>
      </vt:variant>
      <vt:variant>
        <vt:lpwstr>https://webcache.googleusercontent.com/search?q=cache:Hnp_yXmX-0IJ:https://tbinternet.ohchr.org/Treaties/CRPD/Shared%2520Documents/LUX/CRPD_C_LUX_CO_1_28811_E.docx+&amp;cd=1&amp;hl=de&amp;ct=clnk&amp;gl=de&amp;client=safari</vt:lpwstr>
      </vt:variant>
      <vt:variant>
        <vt:lpwstr/>
      </vt:variant>
      <vt:variant>
        <vt:i4>32768164</vt:i4>
      </vt:variant>
      <vt:variant>
        <vt:i4>48</vt:i4>
      </vt:variant>
      <vt:variant>
        <vt:i4>0</vt:i4>
      </vt:variant>
      <vt:variant>
        <vt:i4>5</vt:i4>
      </vt:variant>
      <vt:variant>
        <vt:lpwstr>https://mfamigr.gouvernement.lu/content/dam/gouv_mfamigr/le-ministère/attributions/personnes-handicapées/premier-rapport-periodique-de-mise-en-œuvre-de-la-convention-onu.pdf</vt:lpwstr>
      </vt:variant>
      <vt:variant>
        <vt:lpwstr/>
      </vt:variant>
      <vt:variant>
        <vt:i4>3211379</vt:i4>
      </vt:variant>
      <vt:variant>
        <vt:i4>45</vt:i4>
      </vt:variant>
      <vt:variant>
        <vt:i4>0</vt:i4>
      </vt:variant>
      <vt:variant>
        <vt:i4>5</vt:i4>
      </vt:variant>
      <vt:variant>
        <vt:lpwstr>http://legilux.public.lu/eli/etat/leg/loi/1971/04/01/n1/jo</vt:lpwstr>
      </vt:variant>
      <vt:variant>
        <vt:lpwstr/>
      </vt:variant>
      <vt:variant>
        <vt:i4>5242880</vt:i4>
      </vt:variant>
      <vt:variant>
        <vt:i4>42</vt:i4>
      </vt:variant>
      <vt:variant>
        <vt:i4>0</vt:i4>
      </vt:variant>
      <vt:variant>
        <vt:i4>5</vt:i4>
      </vt:variant>
      <vt:variant>
        <vt:lpwstr>https://www.humanconsultancy.com/downloads/342-luxembourg-desk-report-fundamental-rights-situation-of-persons-with-mental-health-problems-and-persons-with-intellectual-disabilities</vt:lpwstr>
      </vt:variant>
      <vt:variant>
        <vt:lpwstr/>
      </vt:variant>
      <vt:variant>
        <vt:i4>10944701</vt:i4>
      </vt:variant>
      <vt:variant>
        <vt:i4>39</vt:i4>
      </vt:variant>
      <vt:variant>
        <vt:i4>0</vt:i4>
      </vt:variant>
      <vt:variant>
        <vt:i4>5</vt:i4>
      </vt:variant>
      <vt:variant>
        <vt:lpwstr>https://mfamigr.gouvernement.lu/dam-assets/le-ministère/attributions/personnes-handicapées/plan-d-action-du-gouvernement-luxembourgeois-en-faveur-des-personnes-handicapees.pdf</vt:lpwstr>
      </vt:variant>
      <vt:variant>
        <vt:lpwstr/>
      </vt:variant>
      <vt:variant>
        <vt:i4>1572877</vt:i4>
      </vt:variant>
      <vt:variant>
        <vt:i4>36</vt:i4>
      </vt:variant>
      <vt:variant>
        <vt:i4>0</vt:i4>
      </vt:variant>
      <vt:variant>
        <vt:i4>5</vt:i4>
      </vt:variant>
      <vt:variant>
        <vt:lpwstr>https://www.disability-europe.net/downloads/284-aned-task-5-independent-living-synthesis-report-14-01-10</vt:lpwstr>
      </vt:variant>
      <vt:variant>
        <vt:lpwstr/>
      </vt:variant>
      <vt:variant>
        <vt:i4>3735675</vt:i4>
      </vt:variant>
      <vt:variant>
        <vt:i4>33</vt:i4>
      </vt:variant>
      <vt:variant>
        <vt:i4>0</vt:i4>
      </vt:variant>
      <vt:variant>
        <vt:i4>5</vt:i4>
      </vt:variant>
      <vt:variant>
        <vt:lpwstr>http://legilux.public.lu/eli/etat/leg/loi/2003/09/12/n1/jo</vt:lpwstr>
      </vt:variant>
      <vt:variant>
        <vt:lpwstr/>
      </vt:variant>
      <vt:variant>
        <vt:i4>6094872</vt:i4>
      </vt:variant>
      <vt:variant>
        <vt:i4>30</vt:i4>
      </vt:variant>
      <vt:variant>
        <vt:i4>0</vt:i4>
      </vt:variant>
      <vt:variant>
        <vt:i4>5</vt:i4>
      </vt:variant>
      <vt:variant>
        <vt:lpwstr>https://www.secu.lu/assurance-dependance/</vt:lpwstr>
      </vt:variant>
      <vt:variant>
        <vt:lpwstr/>
      </vt:variant>
      <vt:variant>
        <vt:i4>5111827</vt:i4>
      </vt:variant>
      <vt:variant>
        <vt:i4>27</vt:i4>
      </vt:variant>
      <vt:variant>
        <vt:i4>0</vt:i4>
      </vt:variant>
      <vt:variant>
        <vt:i4>5</vt:i4>
      </vt:variant>
      <vt:variant>
        <vt:lpwstr>https://www.disability-europe.net/downloads/460-lu-7-aned-2009-request-07-task-5-report-on-independent-living-approved-final-in-layout-to-ec</vt:lpwstr>
      </vt:variant>
      <vt:variant>
        <vt:lpwstr/>
      </vt:variant>
      <vt:variant>
        <vt:i4>8126584</vt:i4>
      </vt:variant>
      <vt:variant>
        <vt:i4>24</vt:i4>
      </vt:variant>
      <vt:variant>
        <vt:i4>0</vt:i4>
      </vt:variant>
      <vt:variant>
        <vt:i4>5</vt:i4>
      </vt:variant>
      <vt:variant>
        <vt:lpwstr>https://www.eurofound.europa.eu/de/surveys/european-quality-of-life-surveys/european-quality-of-life-survey-2012/eqls-2012-methodology</vt:lpwstr>
      </vt:variant>
      <vt:variant>
        <vt:lpwstr/>
      </vt:variant>
      <vt:variant>
        <vt:i4>5636168</vt:i4>
      </vt:variant>
      <vt:variant>
        <vt:i4>21</vt:i4>
      </vt:variant>
      <vt:variant>
        <vt:i4>0</vt:i4>
      </vt:variant>
      <vt:variant>
        <vt:i4>5</vt:i4>
      </vt:variant>
      <vt:variant>
        <vt:lpwstr>https://mfamigr.gouvernement.lu/fr/publications.html</vt:lpwstr>
      </vt:variant>
      <vt:variant>
        <vt:lpwstr/>
      </vt:variant>
      <vt:variant>
        <vt:i4>1835096</vt:i4>
      </vt:variant>
      <vt:variant>
        <vt:i4>18</vt:i4>
      </vt:variant>
      <vt:variant>
        <vt:i4>0</vt:i4>
      </vt:variant>
      <vt:variant>
        <vt:i4>5</vt:i4>
      </vt:variant>
      <vt:variant>
        <vt:lpwstr>https://fra.europa.eu/en/publication/2017/independent-living-outcomes</vt:lpwstr>
      </vt:variant>
      <vt:variant>
        <vt:lpwstr/>
      </vt:variant>
      <vt:variant>
        <vt:i4>6488157</vt:i4>
      </vt:variant>
      <vt:variant>
        <vt:i4>15</vt:i4>
      </vt:variant>
      <vt:variant>
        <vt:i4>0</vt:i4>
      </vt:variant>
      <vt:variant>
        <vt:i4>5</vt:i4>
      </vt:variant>
      <vt:variant>
        <vt:lpwstr>https://www.kent.ac.uk/tizard/research/DECL_network/documents/DECLOC_Country_Reports.pdf</vt:lpwstr>
      </vt:variant>
      <vt:variant>
        <vt:lpwstr/>
      </vt:variant>
      <vt:variant>
        <vt:i4>6488157</vt:i4>
      </vt:variant>
      <vt:variant>
        <vt:i4>12</vt:i4>
      </vt:variant>
      <vt:variant>
        <vt:i4>0</vt:i4>
      </vt:variant>
      <vt:variant>
        <vt:i4>5</vt:i4>
      </vt:variant>
      <vt:variant>
        <vt:lpwstr>https://www.kent.ac.uk/tizard/research/DECL_network/documents/DECLOC_Country_Reports.pdf</vt:lpwstr>
      </vt:variant>
      <vt:variant>
        <vt:lpwstr/>
      </vt:variant>
      <vt:variant>
        <vt:i4>7471150</vt:i4>
      </vt:variant>
      <vt:variant>
        <vt:i4>9</vt:i4>
      </vt:variant>
      <vt:variant>
        <vt:i4>0</vt:i4>
      </vt:variant>
      <vt:variant>
        <vt:i4>5</vt:i4>
      </vt:variant>
      <vt:variant>
        <vt:lpwstr>https://www.humanconsultancy.com/projects/fundamental-rights-of-persons-with-intellectual-disabilities-and-persons-with-mental-health-problems</vt:lpwstr>
      </vt:variant>
      <vt:variant>
        <vt:lpwstr/>
      </vt:variant>
      <vt:variant>
        <vt:i4>6881312</vt:i4>
      </vt:variant>
      <vt:variant>
        <vt:i4>6</vt:i4>
      </vt:variant>
      <vt:variant>
        <vt:i4>0</vt:i4>
      </vt:variant>
      <vt:variant>
        <vt:i4>5</vt:i4>
      </vt:variant>
      <vt:variant>
        <vt:lpwstr>http://sante.public.lu/fr/publications/r/rapport-rossler-psychiatrie-lux-planungsstudie-2005-bestandaufnahme/index.html</vt:lpwstr>
      </vt:variant>
      <vt:variant>
        <vt:lpwstr/>
      </vt:variant>
      <vt:variant>
        <vt:i4>4521985</vt:i4>
      </vt:variant>
      <vt:variant>
        <vt:i4>3</vt:i4>
      </vt:variant>
      <vt:variant>
        <vt:i4>0</vt:i4>
      </vt:variant>
      <vt:variant>
        <vt:i4>5</vt:i4>
      </vt:variant>
      <vt:variant>
        <vt:lpwstr>http://www.sante.public.lu/publications/systeme-sante/politique-nationale-sante/rapport-rossler-psychiatrie-luxembourg-planungsstudie-2005-bestandeserhebung/rapport-rossler-psychiatrie-luxembourg-planungsstudie-2005-bestandeserhebung.pdf</vt:lpwstr>
      </vt:variant>
      <vt:variant>
        <vt:lpwstr/>
      </vt:variant>
      <vt:variant>
        <vt:i4>4194412</vt:i4>
      </vt:variant>
      <vt:variant>
        <vt:i4>0</vt:i4>
      </vt:variant>
      <vt:variant>
        <vt:i4>0</vt:i4>
      </vt:variant>
      <vt:variant>
        <vt:i4>5</vt:i4>
      </vt:variant>
      <vt:variant>
        <vt:lpwstr>https://stats.oecd.org/Index.aspx?QueryId=30142&amp;_ga=2.7185588.722996396.1547661294-1828482028.1541880394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Rebecca van Midden</cp:lastModifiedBy>
  <cp:revision>4</cp:revision>
  <cp:lastPrinted>2019-02-08T18:37:00Z</cp:lastPrinted>
  <dcterms:created xsi:type="dcterms:W3CDTF">2019-05-01T12:05:00Z</dcterms:created>
  <dcterms:modified xsi:type="dcterms:W3CDTF">2019-05-01T12:23:00Z</dcterms:modified>
  <cp:category/>
</cp:coreProperties>
</file>